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C2934">
      <w:pPr>
        <w:spacing w:line="240" w:lineRule="auto"/>
        <w:ind w:firstLine="0" w:firstLineChars="0"/>
        <w:jc w:val="center"/>
        <w:rPr>
          <w:b/>
          <w:bCs/>
          <w:color w:val="000000" w:themeColor="text1"/>
          <w:sz w:val="44"/>
          <w:szCs w:val="52"/>
          <w14:textFill>
            <w14:solidFill>
              <w14:schemeClr w14:val="tx1"/>
            </w14:solidFill>
          </w14:textFill>
        </w:rPr>
      </w:pPr>
      <w:r>
        <w:rPr>
          <w:rFonts w:hint="eastAsia"/>
          <w:b/>
          <w:bCs/>
          <w:color w:val="000000" w:themeColor="text1"/>
          <w:sz w:val="44"/>
          <w:szCs w:val="52"/>
          <w14:textFill>
            <w14:solidFill>
              <w14:schemeClr w14:val="tx1"/>
            </w14:solidFill>
          </w14:textFill>
        </w:rPr>
        <w:t>询价采购公告</w:t>
      </w:r>
    </w:p>
    <w:p w14:paraId="5D3291E1">
      <w:pPr>
        <w:spacing w:line="240" w:lineRule="auto"/>
        <w:ind w:firstLine="0" w:firstLineChars="0"/>
        <w:jc w:val="center"/>
        <w:rPr>
          <w:b/>
          <w:bCs/>
          <w:color w:val="000000" w:themeColor="text1"/>
          <w:sz w:val="44"/>
          <w:szCs w:val="52"/>
          <w14:textFill>
            <w14:solidFill>
              <w14:schemeClr w14:val="tx1"/>
            </w14:solidFill>
          </w14:textFill>
        </w:rPr>
      </w:pPr>
    </w:p>
    <w:p w14:paraId="188DAB16">
      <w:pPr>
        <w:ind w:firstLine="482"/>
        <w:rPr>
          <w:rFonts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一、项目名称</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深圳艺术学校综合剧场专业设备日常消耗品采购</w:t>
      </w:r>
    </w:p>
    <w:p w14:paraId="53A7A661">
      <w:pPr>
        <w:ind w:firstLine="482"/>
        <w:rPr>
          <w:rFonts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二、预算金额</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人民币壹拾陆万肆仟柒佰肆拾元整（</w:t>
      </w:r>
      <w:r>
        <w:rPr>
          <w:rFonts w:ascii="宋体" w:hAnsi="宋体" w:cs="Calibri"/>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164740</w:t>
      </w:r>
      <w:r>
        <w:rPr>
          <w:rFonts w:hint="eastAsia" w:ascii="宋体" w:hAnsi="宋体"/>
          <w:color w:val="000000" w:themeColor="text1"/>
          <w14:textFill>
            <w14:solidFill>
              <w14:schemeClr w14:val="tx1"/>
            </w14:solidFill>
          </w14:textFill>
        </w:rPr>
        <w:t>.00</w:t>
      </w:r>
      <w:r>
        <w:rPr>
          <w:rFonts w:hint="eastAsia" w:ascii="宋体" w:hAnsi="宋体" w:cs="仿宋_GB2312"/>
          <w:color w:val="000000" w:themeColor="text1"/>
          <w14:textFill>
            <w14:solidFill>
              <w14:schemeClr w14:val="tx1"/>
            </w14:solidFill>
          </w14:textFill>
        </w:rPr>
        <w:t>）</w:t>
      </w:r>
    </w:p>
    <w:p w14:paraId="44CC91F6">
      <w:pPr>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三、评审办法</w:t>
      </w:r>
      <w:r>
        <w:rPr>
          <w:rFonts w:hint="eastAsia" w:ascii="宋体" w:hAnsi="宋体"/>
          <w:color w:val="000000" w:themeColor="text1"/>
          <w14:textFill>
            <w14:solidFill>
              <w14:schemeClr w14:val="tx1"/>
            </w14:solidFill>
          </w14:textFill>
        </w:rPr>
        <w:t>：询价采购</w:t>
      </w:r>
    </w:p>
    <w:p w14:paraId="57425AAF">
      <w:pPr>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四、定标方式：</w:t>
      </w:r>
      <w:r>
        <w:rPr>
          <w:color w:val="000000" w:themeColor="text1"/>
          <w14:textFill>
            <w14:solidFill>
              <w14:schemeClr w14:val="tx1"/>
            </w14:solidFill>
          </w14:textFill>
        </w:rPr>
        <w:t>按照最低价原则确定成交供应商</w:t>
      </w:r>
    </w:p>
    <w:p w14:paraId="7C511B08">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五、供应商资格要求：</w:t>
      </w:r>
    </w:p>
    <w:p w14:paraId="7F2CBF49">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1.具有独立法人资格或是具有独立承担民事责任能力的其它组织（提供营业执照或事业单位法人证书等证明资料扫描件加盖投标人公章，原件备查）；</w:t>
      </w:r>
    </w:p>
    <w:p w14:paraId="24D34D6A">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2.以下部分提供</w:t>
      </w:r>
      <w:r>
        <w:rPr>
          <w:rFonts w:hint="eastAsia" w:ascii="Times New Roman" w:hAnsi="Times New Roman"/>
          <w:b/>
          <w:bCs/>
          <w:color w:val="000000" w:themeColor="text1"/>
          <w14:textFill>
            <w14:solidFill>
              <w14:schemeClr w14:val="tx1"/>
            </w14:solidFill>
          </w14:textFill>
        </w:rPr>
        <w:t>承诺函</w:t>
      </w:r>
      <w:r>
        <w:rPr>
          <w:rFonts w:hint="eastAsia" w:ascii="Times New Roman" w:hAnsi="Times New Roman"/>
          <w:color w:val="000000" w:themeColor="text1"/>
          <w14:textFill>
            <w14:solidFill>
              <w14:schemeClr w14:val="tx1"/>
            </w14:solidFill>
          </w14:textFill>
        </w:rPr>
        <w:t>，格式自拟，加盖投标人单位公章：</w:t>
      </w:r>
    </w:p>
    <w:p w14:paraId="097B6F15">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（1）参与本项目政府采购活动前三年内，在经营活动中没有重大违法记录；</w:t>
      </w:r>
    </w:p>
    <w:p w14:paraId="749871E6">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（2）参与本项目政府采购活动时不存在被有关部门禁止参与政府采购活动且在有效期内的情况；</w:t>
      </w:r>
    </w:p>
    <w:p w14:paraId="3CF94074">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（3）供应商未被列入失信被执行人、重大税收违法案件失信主体、政府采购严重违法失信行为记录名单；</w:t>
      </w:r>
    </w:p>
    <w:p w14:paraId="0B682E34">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（4）为采购项目提供整体设计、规范编制或者项目管理、监理、检测等服务的供应商，不得再参加该采购项目的其他采购活动；</w:t>
      </w:r>
    </w:p>
    <w:p w14:paraId="55DEF51F">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（5）参与本项目政府采购活动时不存在与其他参加本项目的供应商相互串通报价的行为。</w:t>
      </w:r>
    </w:p>
    <w:p w14:paraId="0966EAE8">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以下部分需填写</w:t>
      </w:r>
      <w:r>
        <w:rPr>
          <w:rFonts w:hint="eastAsia" w:ascii="Times New Roman" w:hAnsi="Times New Roman"/>
          <w:b/>
          <w:bCs/>
          <w:color w:val="000000" w:themeColor="text1"/>
          <w14:textFill>
            <w14:solidFill>
              <w14:schemeClr w14:val="tx1"/>
            </w14:solidFill>
          </w14:textFill>
        </w:rPr>
        <w:t>《附件1》、《附件2》</w:t>
      </w:r>
      <w:r>
        <w:rPr>
          <w:rFonts w:hint="eastAsia" w:ascii="Times New Roman" w:hAnsi="Times New Roman"/>
          <w:color w:val="000000" w:themeColor="text1"/>
          <w14:textFill>
            <w14:solidFill>
              <w14:schemeClr w14:val="tx1"/>
            </w14:solidFill>
          </w14:textFill>
        </w:rPr>
        <w:t>，加盖投标人单位公章：</w:t>
      </w:r>
    </w:p>
    <w:p w14:paraId="7003D5E6">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不同供应商的法定代表人、投标授权代表人、投标编制人员、项目负责人（如有）、主要技术人员（如有）不得为同一人或在同一单位缴纳社会保险，或者是否存在直接控股、管理关系；是否因违法行为而被禁止参加政府采购活动等情形【如不提供《附件1》，或者如发现上述情形的，供应商资格审查不通过，不得参与本次自行采购活动】</w:t>
      </w:r>
    </w:p>
    <w:p w14:paraId="667F3DE5">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4.本项目不接受联合体投标，不允许分包、转包。</w:t>
      </w:r>
    </w:p>
    <w:p w14:paraId="5C138485">
      <w:pPr>
        <w:ind w:firstLine="482"/>
        <w:rPr>
          <w:rFonts w:ascii="宋体" w:hAnsi="宋体"/>
          <w:b/>
          <w:bCs/>
          <w:color w:val="000000" w:themeColor="text1"/>
          <w14:textFill>
            <w14:solidFill>
              <w14:schemeClr w14:val="tx1"/>
            </w14:solidFill>
          </w14:textFill>
        </w:rPr>
      </w:pPr>
    </w:p>
    <w:p w14:paraId="2D961DD7">
      <w:pPr>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六、需求内容</w:t>
      </w:r>
      <w:r>
        <w:rPr>
          <w:rFonts w:hint="eastAsia" w:ascii="宋体" w:hAnsi="宋体"/>
          <w:color w:val="000000" w:themeColor="text1"/>
          <w14:textFill>
            <w14:solidFill>
              <w14:schemeClr w14:val="tx1"/>
            </w14:solidFill>
          </w14:textFill>
        </w:rPr>
        <w:t>：</w:t>
      </w:r>
    </w:p>
    <w:p w14:paraId="01AD874F">
      <w:pPr>
        <w:ind w:firstLine="480" w:firstLineChars="0"/>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（一）项目概况</w:t>
      </w:r>
    </w:p>
    <w:p w14:paraId="64866C47">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深圳艺术学校由于综合剧场目前专业舞台灯具损坏较为严重，已无法满足校内艺术实践活动的舞美灯光效果，且灯具内的灯泡及整流器已超过超过使用年限，需进行统一更换内部损耗配件。现需要招出一家优质供应商对深圳艺术学校综合剧场专业设备内部配件进行更换。</w:t>
      </w:r>
    </w:p>
    <w:p w14:paraId="49FE5C0B">
      <w:pPr>
        <w:ind w:firstLine="480" w:firstLineChars="0"/>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（二）施工基本要求</w:t>
      </w:r>
    </w:p>
    <w:p w14:paraId="0D1B9F1C">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1.中标人必须作好施工记录、隐蔽</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记录、施工资料的整理、竣工资料的编制等工作。</w:t>
      </w:r>
    </w:p>
    <w:p w14:paraId="07C505EB">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2.中标人必须在施工现场显眼位置设置正规施工警示牌、</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概况牌，如标注“温馨提示”语言。靠近人行通道边（或中标人以为有必要的其他周边）必须用整齐美观的板材围护密封施工。</w:t>
      </w:r>
    </w:p>
    <w:p w14:paraId="5A405CBA">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中标人施工必须达到有关部门规定的安全文明施工标准，服从采购人管理各项规定要求，避免干扰采购人正常工作秩序，认真做好施工现场防护、防火、噪音、用电等安全文明施工各项管理工作，承担相应一切责任，确保施工场地区域道路通畅，保持施工现场整洁，做到工完场清，达到国家卫生城市标准。</w:t>
      </w:r>
    </w:p>
    <w:p w14:paraId="60DB5F5D">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4.中标人必须在施工过程中注意自身及周边安全，做好现场及周边安全设施搭设，遵守有关安全保护规程，负责施工过程中的所有事故处理和费用。</w:t>
      </w:r>
    </w:p>
    <w:p w14:paraId="37800C44">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5.中标人必须服从采购人的监督、指导并积极主动配合上述管理机构的工作。</w:t>
      </w:r>
    </w:p>
    <w:p w14:paraId="25FA2ED4">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6.中标人施工时须提供材料样板，经采购人最终确认后，方可进场使用，中标人所提供的样板等或厂家应符合设计图纸要求及采购人确认要求。</w:t>
      </w:r>
    </w:p>
    <w:p w14:paraId="72826DD8">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7.用在本</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的任何材料在使用前必须得到采购人的批准，样品须在大批订货前送审。获准的样品存放在工地，作为以后验收材料的标准。样品和其包装，由中标人无偿提供。</w:t>
      </w:r>
    </w:p>
    <w:p w14:paraId="457E9383">
      <w:pPr>
        <w:ind w:firstLine="42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8.中标人在</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施工前，须全面检查工地情况，若发现错误须立刻通知</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师。若未能遵从此规定，使本</w:t>
      </w:r>
      <w:r>
        <w:rPr>
          <w:rFonts w:hint="eastAsia" w:ascii="Times New Roman" w:hAnsi="Times New Roman"/>
          <w:color w:val="000000" w:themeColor="text1"/>
          <w:lang w:eastAsia="zh-CN"/>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的任何项目因此等错误或缺陷而错误地建造，则中标人须自费予以拆除及重建。</w:t>
      </w:r>
    </w:p>
    <w:p w14:paraId="46C0987C">
      <w:pPr>
        <w:ind w:firstLine="480" w:firstLineChars="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实行项目经理负责制，签订合同前需要与采购人确认固定的项目经理和项目服务成员。如未经采购人同意更换项目班子成员，采购人有权取消中标人的中标资格或单方面终止合同，由此造成的违约责任由中标人承担。</w:t>
      </w:r>
    </w:p>
    <w:p w14:paraId="6F5541FA">
      <w:pPr>
        <w:ind w:firstLine="482"/>
        <w:rPr>
          <w:b/>
          <w:bCs/>
        </w:rPr>
      </w:pPr>
      <w:r>
        <w:rPr>
          <w:rFonts w:hint="eastAsia"/>
          <w:b/>
          <w:bCs/>
        </w:rPr>
        <w:t>（三）项目技术要求</w:t>
      </w:r>
    </w:p>
    <w:p w14:paraId="72BD24BE">
      <w:pPr>
        <w:ind w:firstLine="480"/>
      </w:pPr>
      <w:r>
        <w:rPr>
          <w:rFonts w:hint="eastAsia"/>
        </w:rPr>
        <w:t>1.（若有）中标人应根据技术要求与设计图纸一起使用，如技术要求与相关图纸不符合时应以两者中较高要求为准。</w:t>
      </w:r>
    </w:p>
    <w:p w14:paraId="666D0A18">
      <w:pPr>
        <w:ind w:firstLine="480"/>
      </w:pPr>
      <w:r>
        <w:rPr>
          <w:rFonts w:hint="eastAsia"/>
        </w:rPr>
        <w:t>2.在符合本</w:t>
      </w:r>
      <w:r>
        <w:rPr>
          <w:rFonts w:hint="eastAsia"/>
          <w:lang w:eastAsia="zh-CN"/>
        </w:rPr>
        <w:t>项目</w:t>
      </w:r>
      <w:r>
        <w:rPr>
          <w:rFonts w:hint="eastAsia"/>
        </w:rPr>
        <w:t>技术要求外，中标人更应符合国家与地方的法律、法规、规范、规程的要求。</w:t>
      </w:r>
    </w:p>
    <w:p w14:paraId="62504B65">
      <w:pPr>
        <w:ind w:firstLine="480"/>
      </w:pPr>
      <w:r>
        <w:rPr>
          <w:rFonts w:hint="eastAsia"/>
        </w:rPr>
        <w:t>3.所用材料的品种、规格和质量须符合设计要求和国家现行标准的规定。严禁使用国家明令淘汰的建筑材料、建筑设备、耗能高的产品及民用建筑挥发性有害物质含量释放量超过国家规定的产品。</w:t>
      </w:r>
    </w:p>
    <w:p w14:paraId="7C27A0E5">
      <w:pPr>
        <w:ind w:firstLine="480"/>
      </w:pPr>
      <w:r>
        <w:rPr>
          <w:rFonts w:hint="eastAsia"/>
        </w:rPr>
        <w:t>4.投标人应认真了解现场场地的地址特点，充分考虑由于现场因素对现场施工、住宿、材料二次搬运等带来的影响和费用，并提出合理的有效措施，确保工期和质量，相关费用列入施工措施费计入投标报价，结算时不作调整。</w:t>
      </w:r>
    </w:p>
    <w:p w14:paraId="37597F23">
      <w:pPr>
        <w:ind w:firstLine="480"/>
      </w:pPr>
      <w:r>
        <w:rPr>
          <w:rFonts w:hint="eastAsia"/>
        </w:rPr>
        <w:t>5.当</w:t>
      </w:r>
      <w:r>
        <w:rPr>
          <w:rFonts w:hint="eastAsia"/>
          <w:lang w:eastAsia="zh-CN"/>
        </w:rPr>
        <w:t>项目</w:t>
      </w:r>
      <w:r>
        <w:rPr>
          <w:rFonts w:hint="eastAsia"/>
        </w:rPr>
        <w:t>量清单项目或设计图纸（若有）与招标文件的“技术要求”不一致时，投标人在投标报价、中标人在采购时以最高的技术要求为准。</w:t>
      </w:r>
    </w:p>
    <w:p w14:paraId="0F4D09E3">
      <w:pPr>
        <w:ind w:firstLine="480"/>
      </w:pPr>
      <w:r>
        <w:rPr>
          <w:rFonts w:hint="eastAsia"/>
        </w:rPr>
        <w:t>6.所需用的脚手架、搭设、支架搭等设备设应符合有关规定要求。</w:t>
      </w:r>
    </w:p>
    <w:p w14:paraId="1C90C193">
      <w:pPr>
        <w:ind w:firstLine="480"/>
      </w:pPr>
      <w:r>
        <w:rPr>
          <w:rFonts w:hint="eastAsia"/>
        </w:rPr>
        <w:t>7.所用的设备及材料需满足国家相关质量标准、安全标准、环保要求，无安全隐患，投标人需先行查看施工场地的实际环境并了解采购人的要求，并制作好施工方案图，并确保在施工过程中安全、文明施工，所有废弃物品归由中标人清运出校区；否则施工过程中出现的任何分歧及由此产生的任何后果由中标人负责；本</w:t>
      </w:r>
      <w:r>
        <w:rPr>
          <w:rFonts w:hint="eastAsia"/>
          <w:lang w:eastAsia="zh-CN"/>
        </w:rPr>
        <w:t>项目</w:t>
      </w:r>
      <w:r>
        <w:rPr>
          <w:rFonts w:hint="eastAsia"/>
        </w:rPr>
        <w:t>要求达到绿色建筑标准，技术上、施工上必须严格执行相关标准、规范。</w:t>
      </w:r>
    </w:p>
    <w:p w14:paraId="490C16FE">
      <w:pPr>
        <w:ind w:firstLine="482"/>
        <w:rPr>
          <w:b/>
          <w:bCs/>
        </w:rPr>
      </w:pPr>
      <w:r>
        <w:rPr>
          <w:rFonts w:hint="eastAsia"/>
          <w:b/>
          <w:bCs/>
        </w:rPr>
        <w:t>（四）项目验收程序、标准</w:t>
      </w:r>
    </w:p>
    <w:p w14:paraId="410C4D0E">
      <w:pPr>
        <w:ind w:firstLine="480"/>
      </w:pPr>
      <w:r>
        <w:rPr>
          <w:rFonts w:hint="eastAsia"/>
        </w:rPr>
        <w:t>1.当本合同</w:t>
      </w:r>
      <w:r>
        <w:rPr>
          <w:rFonts w:hint="eastAsia"/>
          <w:lang w:val="en-US" w:eastAsia="zh-CN"/>
        </w:rPr>
        <w:t>项目</w:t>
      </w:r>
      <w:r>
        <w:rPr>
          <w:rFonts w:hint="eastAsia"/>
        </w:rPr>
        <w:t>已经实质上竣工，并合格地通过了按合同规定的各项质量检验，采购人在收到该申请后的21天内应组织交工验收。交工验收由采购人主持，并成立竣工验收委员会，按国家有关</w:t>
      </w:r>
      <w:r>
        <w:rPr>
          <w:rFonts w:hint="eastAsia"/>
          <w:lang w:eastAsia="zh-CN"/>
        </w:rPr>
        <w:t>项目</w:t>
      </w:r>
      <w:r>
        <w:rPr>
          <w:rFonts w:hint="eastAsia"/>
        </w:rPr>
        <w:t>竣工验收的办法组织竣工验收工作。</w:t>
      </w:r>
    </w:p>
    <w:p w14:paraId="13DDD553">
      <w:pPr>
        <w:ind w:firstLine="480"/>
      </w:pPr>
      <w:r>
        <w:rPr>
          <w:rFonts w:hint="eastAsia"/>
        </w:rPr>
        <w:t>2.如果采购人未能在上述规定的时间内组织竣工验收，则采购人应从规定期限最后一天的次日起承担延期验收的</w:t>
      </w:r>
      <w:r>
        <w:rPr>
          <w:rFonts w:hint="eastAsia"/>
          <w:lang w:eastAsia="zh-CN"/>
        </w:rPr>
        <w:t>项目</w:t>
      </w:r>
      <w:r>
        <w:rPr>
          <w:rFonts w:hint="eastAsia"/>
        </w:rPr>
        <w:t>照管和养护费用，监理</w:t>
      </w:r>
      <w:r>
        <w:rPr>
          <w:rFonts w:hint="eastAsia"/>
          <w:lang w:eastAsia="zh-CN"/>
        </w:rPr>
        <w:t>项目</w:t>
      </w:r>
      <w:r>
        <w:rPr>
          <w:rFonts w:hint="eastAsia"/>
        </w:rPr>
        <w:t>师在与中标人和采购人协商后，应确定将此费用款额加到合同价格上，并通知中标人，抄送采购人。</w:t>
      </w:r>
    </w:p>
    <w:p w14:paraId="5147E20D">
      <w:pPr>
        <w:ind w:firstLine="480"/>
      </w:pPr>
      <w:r>
        <w:rPr>
          <w:rFonts w:hint="eastAsia"/>
        </w:rPr>
        <w:t>3.如果经竣工验收认为</w:t>
      </w:r>
      <w:r>
        <w:rPr>
          <w:rFonts w:hint="eastAsia"/>
          <w:lang w:eastAsia="zh-CN"/>
        </w:rPr>
        <w:t>项目</w:t>
      </w:r>
      <w:r>
        <w:rPr>
          <w:rFonts w:hint="eastAsia"/>
        </w:rPr>
        <w:t>质量合格，采购人应在验收工作完毕后14天内向中标人签发交接证书。证书中写明按合同规定本合同</w:t>
      </w:r>
      <w:r>
        <w:rPr>
          <w:rFonts w:hint="eastAsia"/>
          <w:lang w:eastAsia="zh-CN"/>
        </w:rPr>
        <w:t>项目</w:t>
      </w:r>
      <w:r>
        <w:rPr>
          <w:rFonts w:hint="eastAsia"/>
        </w:rPr>
        <w:t>的竣工日期（即中标人提出申请竣工验收的日期），同时办理合同</w:t>
      </w:r>
      <w:r>
        <w:rPr>
          <w:rFonts w:hint="eastAsia"/>
          <w:lang w:eastAsia="zh-CN"/>
        </w:rPr>
        <w:t>项目</w:t>
      </w:r>
      <w:r>
        <w:rPr>
          <w:rFonts w:hint="eastAsia"/>
        </w:rPr>
        <w:t>的移交管养工作。交接证书签发并移交管养后，中标人即不再负责对本</w:t>
      </w:r>
      <w:r>
        <w:rPr>
          <w:rFonts w:hint="eastAsia"/>
          <w:lang w:eastAsia="zh-CN"/>
        </w:rPr>
        <w:t>项目</w:t>
      </w:r>
      <w:r>
        <w:rPr>
          <w:rFonts w:hint="eastAsia"/>
        </w:rPr>
        <w:t>的照管。</w:t>
      </w:r>
    </w:p>
    <w:p w14:paraId="16F260AC">
      <w:pPr>
        <w:ind w:firstLine="480"/>
      </w:pPr>
      <w:r>
        <w:rPr>
          <w:rFonts w:hint="eastAsia"/>
        </w:rPr>
        <w:t>4.如果发给交接证书的</w:t>
      </w:r>
      <w:r>
        <w:rPr>
          <w:rFonts w:hint="eastAsia"/>
          <w:lang w:eastAsia="zh-CN"/>
        </w:rPr>
        <w:t>项目</w:t>
      </w:r>
      <w:r>
        <w:rPr>
          <w:rFonts w:hint="eastAsia"/>
        </w:rPr>
        <w:t>不能立即移交管养时，中标人仍应继续负责</w:t>
      </w:r>
      <w:r>
        <w:rPr>
          <w:rFonts w:hint="eastAsia"/>
          <w:lang w:eastAsia="zh-CN"/>
        </w:rPr>
        <w:t>项目</w:t>
      </w:r>
      <w:r>
        <w:rPr>
          <w:rFonts w:hint="eastAsia"/>
        </w:rPr>
        <w:t>照管和养护，监理</w:t>
      </w:r>
      <w:r>
        <w:rPr>
          <w:rFonts w:hint="eastAsia"/>
          <w:lang w:eastAsia="zh-CN"/>
        </w:rPr>
        <w:t>项目</w:t>
      </w:r>
      <w:r>
        <w:rPr>
          <w:rFonts w:hint="eastAsia"/>
        </w:rPr>
        <w:t>师在与中标人和采购人协商后应确定加到合同价格上的此项费用款额，通知中标人，抄送采购人。</w:t>
      </w:r>
    </w:p>
    <w:p w14:paraId="39CB7192">
      <w:pPr>
        <w:ind w:firstLine="480"/>
      </w:pPr>
      <w:r>
        <w:rPr>
          <w:rFonts w:hint="eastAsia"/>
        </w:rPr>
        <w:t>5.如经竣工验收认为</w:t>
      </w:r>
      <w:r>
        <w:rPr>
          <w:rFonts w:hint="eastAsia"/>
          <w:lang w:eastAsia="zh-CN"/>
        </w:rPr>
        <w:t>项目</w:t>
      </w:r>
      <w:r>
        <w:rPr>
          <w:rFonts w:hint="eastAsia"/>
        </w:rPr>
        <w:t>质量虽合格，同意验收，但某些</w:t>
      </w:r>
      <w:r>
        <w:rPr>
          <w:rFonts w:hint="eastAsia"/>
          <w:lang w:eastAsia="zh-CN"/>
        </w:rPr>
        <w:t>项目</w:t>
      </w:r>
      <w:r>
        <w:rPr>
          <w:rFonts w:hint="eastAsia"/>
        </w:rPr>
        <w:t>尚需整修、补修，则应缓发交接证书，限期修好，待整修、补修工作完成，经监理</w:t>
      </w:r>
      <w:r>
        <w:rPr>
          <w:rFonts w:hint="eastAsia"/>
          <w:lang w:eastAsia="zh-CN"/>
        </w:rPr>
        <w:t>项目</w:t>
      </w:r>
      <w:r>
        <w:rPr>
          <w:rFonts w:hint="eastAsia"/>
        </w:rPr>
        <w:t>师复查认为达到质量要求后，再发给交接证书，证书上写明的竣工日期仍应为中标人提出申请竣工验收的日期。</w:t>
      </w:r>
    </w:p>
    <w:p w14:paraId="41E42450">
      <w:pPr>
        <w:ind w:firstLine="480"/>
      </w:pPr>
      <w:r>
        <w:rPr>
          <w:rFonts w:hint="eastAsia"/>
        </w:rPr>
        <w:t>6.如经竣工验收认为</w:t>
      </w:r>
      <w:r>
        <w:rPr>
          <w:rFonts w:hint="eastAsia"/>
          <w:lang w:eastAsia="zh-CN"/>
        </w:rPr>
        <w:t>项目</w:t>
      </w:r>
      <w:r>
        <w:rPr>
          <w:rFonts w:hint="eastAsia"/>
        </w:rPr>
        <w:t>质量达不到合格标准，则监理</w:t>
      </w:r>
      <w:r>
        <w:rPr>
          <w:rFonts w:hint="eastAsia"/>
          <w:lang w:eastAsia="zh-CN"/>
        </w:rPr>
        <w:t>项目</w:t>
      </w:r>
      <w:r>
        <w:rPr>
          <w:rFonts w:hint="eastAsia"/>
        </w:rPr>
        <w:t>师应根据竣工验收小组的意见，在验收工作完毕后7天内向中标人发出不予验收的指令，要求中标人对不合格</w:t>
      </w:r>
      <w:r>
        <w:rPr>
          <w:rFonts w:hint="eastAsia"/>
          <w:lang w:eastAsia="zh-CN"/>
        </w:rPr>
        <w:t>项目</w:t>
      </w:r>
      <w:r>
        <w:rPr>
          <w:rFonts w:hint="eastAsia"/>
        </w:rPr>
        <w:t>认真返工重做或补救处理。中标人在完成上述不合格</w:t>
      </w:r>
      <w:r>
        <w:rPr>
          <w:rFonts w:hint="eastAsia"/>
          <w:lang w:eastAsia="zh-CN"/>
        </w:rPr>
        <w:t>项目</w:t>
      </w:r>
      <w:r>
        <w:rPr>
          <w:rFonts w:hint="eastAsia"/>
        </w:rPr>
        <w:t>的修复工作后，应重新提出竣工验收的申请，经竣工验收小组复验认为达到合格标准后才发给交接证书。证书中写明的竣工日期应为中标人重新提出申请竣工验收的日期。计算实际工期时应减去中标人第一次提出申请竣工验收至监理</w:t>
      </w:r>
      <w:r>
        <w:rPr>
          <w:rFonts w:hint="eastAsia"/>
          <w:lang w:eastAsia="zh-CN"/>
        </w:rPr>
        <w:t>项目</w:t>
      </w:r>
      <w:r>
        <w:rPr>
          <w:rFonts w:hint="eastAsia"/>
        </w:rPr>
        <w:t>师发出不予验收的指令的时间。</w:t>
      </w:r>
    </w:p>
    <w:p w14:paraId="5BC03542">
      <w:pPr>
        <w:widowControl/>
        <w:spacing w:line="240" w:lineRule="auto"/>
        <w:ind w:firstLine="0" w:firstLineChars="0"/>
        <w:jc w:val="left"/>
        <w:rPr>
          <w:b/>
          <w:bCs/>
        </w:rPr>
      </w:pPr>
      <w:r>
        <w:rPr>
          <w:b/>
          <w:bCs/>
        </w:rPr>
        <w:br w:type="page"/>
      </w:r>
    </w:p>
    <w:p w14:paraId="00344C85">
      <w:pPr>
        <w:ind w:firstLine="482"/>
        <w:rPr>
          <w:b/>
          <w:bCs/>
        </w:rPr>
      </w:pPr>
      <w:r>
        <w:rPr>
          <w:rFonts w:hint="eastAsia"/>
          <w:b/>
          <w:bCs/>
        </w:rPr>
        <w:t>（五）</w:t>
      </w:r>
      <w:r>
        <w:rPr>
          <w:rFonts w:hint="eastAsia"/>
          <w:b/>
          <w:bCs/>
          <w:lang w:val="en-US" w:eastAsia="zh-CN"/>
        </w:rPr>
        <w:t>采购</w:t>
      </w:r>
      <w:r>
        <w:rPr>
          <w:rFonts w:hint="eastAsia"/>
          <w:b/>
          <w:bCs/>
        </w:rPr>
        <w:t>量清单</w:t>
      </w:r>
    </w:p>
    <w:tbl>
      <w:tblPr>
        <w:tblStyle w:val="20"/>
        <w:tblW w:w="9707"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326"/>
        <w:gridCol w:w="1300"/>
        <w:gridCol w:w="2966"/>
        <w:gridCol w:w="966"/>
        <w:gridCol w:w="877"/>
        <w:gridCol w:w="1396"/>
      </w:tblGrid>
      <w:tr w14:paraId="3D92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F00A">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EDD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1E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6D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参数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FF7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1EAC">
            <w:pPr>
              <w:keepNext w:val="0"/>
              <w:keepLines w:val="0"/>
              <w:widowControl/>
              <w:suppressLineNumbers w:val="0"/>
              <w:ind w:left="0" w:leftChars="0" w:firstLine="0" w:firstLineChars="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E10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29D6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4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BCE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整流器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D62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EP81500AC-F1</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F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EP81500AC-E2 1500W (IN:198V-264V AC 47-63HZ OUT: APPROX 280V 耐压：1800V 不热启动</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94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3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02BC">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电脑摇头切割灯，含安装调试</w:t>
            </w:r>
          </w:p>
        </w:tc>
      </w:tr>
      <w:tr w14:paraId="58FDD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F6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FF0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79E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OSRAMS HTI 1500W D7/60 SFc10-4，双端</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5D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OSRAMS HTI 1500W D7/60 SFc10-4，双端</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B86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5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9687">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电脑摇头切割灯，含安装调试</w:t>
            </w:r>
          </w:p>
        </w:tc>
      </w:tr>
      <w:tr w14:paraId="29D9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AD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F2C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成像灯灯泡</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75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HPL 750+70O8 230V/750W</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D9C8">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Philips HPL 750+70O8 230V/750W</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8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9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76C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卤素灯，用于三楼音乐厅舞台灯</w:t>
            </w:r>
          </w:p>
        </w:tc>
      </w:tr>
      <w:tr w14:paraId="0C12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3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731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显示板</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CD3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4D59">
            <w:pPr>
              <w:jc w:val="lef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C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C1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AB2B">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电脑摇头切割灯，含安装</w:t>
            </w:r>
          </w:p>
        </w:tc>
      </w:tr>
      <w:tr w14:paraId="1DB8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4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280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触发器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C465">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5951">
            <w:pPr>
              <w:jc w:val="left"/>
              <w:rPr>
                <w:rFonts w:hint="eastAsia" w:ascii="宋体" w:hAnsi="宋体" w:eastAsia="宋体" w:cs="宋体"/>
                <w:i w:val="0"/>
                <w:iCs w:val="0"/>
                <w:color w:val="000000"/>
                <w:sz w:val="18"/>
                <w:szCs w:val="18"/>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B2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E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320">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电脑摇头切割灯，含安装</w:t>
            </w:r>
          </w:p>
        </w:tc>
      </w:tr>
      <w:tr w14:paraId="4B9E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C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2961">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网络控制器NPU</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EF9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领焰YEL3</w:t>
            </w: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44AD">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实时计算，自带8个DMX512输出口，可输出4,096控制参数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1个内置触摸式指令屏幕(7”SVGA)2/ 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 1个千兆以太网接口2个USB2.0连接接口（可选配4口USB接口）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AC宽电压电源：100V-240V，50Hz/60Hz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 1个手动旋钮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Linux操作系统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中英文双语种操作界面</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F6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6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5EC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新增设备，需同品牌生产厂家技术人员到场协助安装调试</w:t>
            </w:r>
          </w:p>
        </w:tc>
      </w:tr>
      <w:tr w14:paraId="45CAE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876" w:type="dxa"/>
            <w:tcBorders>
              <w:top w:val="nil"/>
              <w:left w:val="single" w:color="000000" w:sz="4" w:space="0"/>
              <w:bottom w:val="single" w:color="000000" w:sz="4" w:space="0"/>
              <w:right w:val="single" w:color="000000" w:sz="4" w:space="0"/>
            </w:tcBorders>
            <w:shd w:val="clear" w:color="auto" w:fill="auto"/>
            <w:vAlign w:val="center"/>
          </w:tcPr>
          <w:p w14:paraId="65FB0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26" w:type="dxa"/>
            <w:tcBorders>
              <w:top w:val="nil"/>
              <w:left w:val="single" w:color="000000" w:sz="4" w:space="0"/>
              <w:bottom w:val="single" w:color="000000" w:sz="4" w:space="0"/>
              <w:right w:val="single" w:color="000000" w:sz="4" w:space="0"/>
            </w:tcBorders>
            <w:shd w:val="clear" w:color="auto" w:fill="auto"/>
            <w:vAlign w:val="center"/>
          </w:tcPr>
          <w:p w14:paraId="58437692">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LED300W聚光灯</w:t>
            </w:r>
          </w:p>
        </w:tc>
        <w:tc>
          <w:tcPr>
            <w:tcW w:w="1300" w:type="dxa"/>
            <w:tcBorders>
              <w:top w:val="nil"/>
              <w:left w:val="single" w:color="000000" w:sz="4" w:space="0"/>
              <w:bottom w:val="single" w:color="000000" w:sz="4" w:space="0"/>
              <w:right w:val="single" w:color="000000" w:sz="4" w:space="0"/>
            </w:tcBorders>
            <w:shd w:val="clear" w:color="auto" w:fill="auto"/>
            <w:vAlign w:val="center"/>
          </w:tcPr>
          <w:p w14:paraId="30EC20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2966" w:type="dxa"/>
            <w:tcBorders>
              <w:top w:val="nil"/>
              <w:left w:val="single" w:color="000000" w:sz="4" w:space="0"/>
              <w:bottom w:val="single" w:color="000000" w:sz="4" w:space="0"/>
              <w:right w:val="single" w:color="000000" w:sz="4" w:space="0"/>
            </w:tcBorders>
            <w:shd w:val="clear" w:color="auto" w:fill="FFFFFF"/>
            <w:vAlign w:val="center"/>
          </w:tcPr>
          <w:p w14:paraId="6B36FBB6">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灯珠规格：LED 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额定功率：AC100-230V 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 源：LED3200K/5600K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額定功率：400W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 镜：专用玻璃螺纹镜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 道：3通道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 焦：电子调焦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放大角度：15°-50°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 光：0-100%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 制：智能遥控</w:t>
            </w:r>
          </w:p>
        </w:tc>
        <w:tc>
          <w:tcPr>
            <w:tcW w:w="966" w:type="dxa"/>
            <w:tcBorders>
              <w:top w:val="nil"/>
              <w:left w:val="single" w:color="000000" w:sz="4" w:space="0"/>
              <w:bottom w:val="single" w:color="000000" w:sz="4" w:space="0"/>
              <w:right w:val="single" w:color="000000" w:sz="4" w:space="0"/>
            </w:tcBorders>
            <w:shd w:val="clear" w:color="auto" w:fill="auto"/>
            <w:vAlign w:val="center"/>
          </w:tcPr>
          <w:p w14:paraId="2C6DC7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7" w:type="dxa"/>
            <w:tcBorders>
              <w:top w:val="nil"/>
              <w:left w:val="single" w:color="000000" w:sz="4" w:space="0"/>
              <w:bottom w:val="single" w:color="000000" w:sz="4" w:space="0"/>
              <w:right w:val="single" w:color="000000" w:sz="4" w:space="0"/>
            </w:tcBorders>
            <w:shd w:val="clear" w:color="auto" w:fill="auto"/>
            <w:vAlign w:val="center"/>
          </w:tcPr>
          <w:p w14:paraId="783DC0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96" w:type="dxa"/>
            <w:tcBorders>
              <w:top w:val="nil"/>
              <w:left w:val="single" w:color="000000" w:sz="4" w:space="0"/>
              <w:bottom w:val="single" w:color="000000" w:sz="4" w:space="0"/>
              <w:right w:val="single" w:color="000000" w:sz="4" w:space="0"/>
            </w:tcBorders>
            <w:shd w:val="clear" w:color="auto" w:fill="auto"/>
            <w:vAlign w:val="center"/>
          </w:tcPr>
          <w:p w14:paraId="6633B289">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新增设备，用于工作灯照明，含安装调试</w:t>
            </w:r>
          </w:p>
        </w:tc>
      </w:tr>
      <w:tr w14:paraId="401A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48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1EA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灯光维护保养</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6381">
            <w:pPr>
              <w:jc w:val="left"/>
              <w:rPr>
                <w:rFonts w:hint="eastAsia" w:ascii="宋体" w:hAnsi="宋体" w:eastAsia="宋体" w:cs="宋体"/>
                <w:b/>
                <w:bCs/>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清理光学和散热器灰尘，颜色系统和光学组件的润滑处理</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CA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8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01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质保期内一年两次</w:t>
            </w:r>
          </w:p>
        </w:tc>
      </w:tr>
      <w:tr w14:paraId="0DAD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2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D14">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灯光线路整理</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93D">
            <w:pPr>
              <w:jc w:val="left"/>
              <w:rPr>
                <w:rFonts w:hint="eastAsia" w:ascii="宋体" w:hAnsi="宋体" w:eastAsia="宋体" w:cs="宋体"/>
                <w:b/>
                <w:bCs/>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69FF">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对未标识的线路进行检查标识，对灯杆上凌乱线路的整理检查</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5C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40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72722C32">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聘请灯控台厂家技术人员到场调试配灯。</w:t>
            </w:r>
          </w:p>
        </w:tc>
      </w:tr>
      <w:tr w14:paraId="0C26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10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E8B3">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灯光控制系统维护</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CCD7">
            <w:pPr>
              <w:jc w:val="left"/>
              <w:rPr>
                <w:rFonts w:hint="eastAsia" w:ascii="宋体" w:hAnsi="宋体" w:eastAsia="宋体" w:cs="宋体"/>
                <w:b/>
                <w:bCs/>
                <w:i w:val="0"/>
                <w:iCs w:val="0"/>
                <w:color w:val="000000"/>
                <w:sz w:val="18"/>
                <w:szCs w:val="18"/>
                <w:u w:val="none"/>
              </w:rPr>
            </w:pPr>
          </w:p>
        </w:tc>
        <w:tc>
          <w:tcPr>
            <w:tcW w:w="2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8ADA">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控台系统的重新配接，控制系统线路的整理和线路标识粘贴</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5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D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012BA32B">
            <w:pPr>
              <w:keepNext w:val="0"/>
              <w:keepLines w:val="0"/>
              <w:widowControl/>
              <w:suppressLineNumbers w:val="0"/>
              <w:ind w:left="0" w:leftChars="0" w:firstLine="0" w:firstLineChars="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聘请灯控台厂家技术人员到场调试配灯。</w:t>
            </w:r>
          </w:p>
        </w:tc>
      </w:tr>
      <w:tr w14:paraId="67A6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07" w:type="dxa"/>
            <w:gridSpan w:val="7"/>
            <w:tcBorders>
              <w:top w:val="nil"/>
              <w:left w:val="nil"/>
              <w:bottom w:val="nil"/>
              <w:right w:val="nil"/>
            </w:tcBorders>
            <w:shd w:val="clear" w:color="auto" w:fill="auto"/>
            <w:vAlign w:val="center"/>
          </w:tcPr>
          <w:p w14:paraId="3FD8CF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备注：1.乙方必须提供24小时及时响应服务，必要时48小时内到达现场处理故障问题。2.为保证舞台灯光使用的稳定性，NPU需要要跟的控台（领焰M2）是同一品牌。3.现场吊杆正常使用，不存在高空作业。</w:t>
            </w:r>
          </w:p>
        </w:tc>
      </w:tr>
    </w:tbl>
    <w:p w14:paraId="45AED454">
      <w:pPr>
        <w:ind w:firstLine="482"/>
        <w:rPr>
          <w:rFonts w:ascii="宋体" w:hAnsi="宋体"/>
          <w:b/>
          <w:bCs/>
          <w:color w:val="000000" w:themeColor="text1"/>
          <w14:textFill>
            <w14:solidFill>
              <w14:schemeClr w14:val="tx1"/>
            </w14:solidFill>
          </w14:textFill>
        </w:rPr>
      </w:pPr>
    </w:p>
    <w:p w14:paraId="4F1D6572">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（六）图纸</w:t>
      </w:r>
    </w:p>
    <w:p w14:paraId="4FFBCCB9">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无。</w:t>
      </w:r>
    </w:p>
    <w:p w14:paraId="526EA784">
      <w:pPr>
        <w:ind w:firstLine="480"/>
      </w:pPr>
    </w:p>
    <w:p w14:paraId="668BD96C">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七、商务要求</w:t>
      </w:r>
    </w:p>
    <w:p w14:paraId="684CFA45">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（一）完工期</w:t>
      </w:r>
    </w:p>
    <w:p w14:paraId="34BFDA9B">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合同签订或约定之日起</w:t>
      </w:r>
      <w:r>
        <w:rPr>
          <w:rFonts w:hint="eastAsia" w:ascii="宋体" w:hAnsi="宋体" w:cs="仿宋_GB2312"/>
          <w:color w:val="000000" w:themeColor="text1"/>
          <w:highlight w:val="green"/>
          <w14:textFill>
            <w14:solidFill>
              <w14:schemeClr w14:val="tx1"/>
            </w14:solidFill>
          </w14:textFill>
        </w:rPr>
        <w:t>30个</w:t>
      </w:r>
      <w:r>
        <w:rPr>
          <w:rFonts w:hint="eastAsia" w:ascii="宋体" w:hAnsi="宋体" w:cs="仿宋_GB2312"/>
          <w:color w:val="000000" w:themeColor="text1"/>
          <w:highlight w:val="green"/>
          <w:lang w:val="en-US" w:eastAsia="zh-CN"/>
          <w14:textFill>
            <w14:solidFill>
              <w14:schemeClr w14:val="tx1"/>
            </w14:solidFill>
          </w14:textFill>
        </w:rPr>
        <w:t>工作</w:t>
      </w:r>
      <w:r>
        <w:rPr>
          <w:rFonts w:hint="eastAsia" w:ascii="宋体" w:hAnsi="宋体" w:cs="仿宋_GB2312"/>
          <w:color w:val="000000" w:themeColor="text1"/>
          <w:highlight w:val="green"/>
          <w14:textFill>
            <w14:solidFill>
              <w14:schemeClr w14:val="tx1"/>
            </w14:solidFill>
          </w14:textFill>
        </w:rPr>
        <w:t>日</w:t>
      </w:r>
      <w:r>
        <w:rPr>
          <w:rFonts w:hint="eastAsia" w:ascii="宋体" w:hAnsi="宋体" w:cs="仿宋_GB2312"/>
          <w:color w:val="000000" w:themeColor="text1"/>
          <w14:textFill>
            <w14:solidFill>
              <w14:schemeClr w14:val="tx1"/>
            </w14:solidFill>
          </w14:textFill>
        </w:rPr>
        <w:t>。</w:t>
      </w:r>
    </w:p>
    <w:p w14:paraId="679C0535">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w:t>
      </w:r>
      <w:bookmarkStart w:id="0" w:name="_Toc19707"/>
      <w:bookmarkStart w:id="1" w:name="_Toc22433"/>
      <w:r>
        <w:rPr>
          <w:rFonts w:hint="eastAsia" w:ascii="宋体" w:hAnsi="宋体"/>
          <w:b/>
          <w:bCs/>
          <w:color w:val="000000" w:themeColor="text1"/>
          <w14:textFill>
            <w14:solidFill>
              <w14:schemeClr w14:val="tx1"/>
            </w14:solidFill>
          </w14:textFill>
        </w:rPr>
        <w:t>保修或售后服务要求</w:t>
      </w:r>
      <w:bookmarkEnd w:id="0"/>
      <w:bookmarkEnd w:id="1"/>
    </w:p>
    <w:p w14:paraId="38C65D1F">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1.质量保修责任：自</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竣工验收完毕之日的第二天计算，整体免费保修期为</w:t>
      </w:r>
      <w:r>
        <w:rPr>
          <w:rFonts w:hint="eastAsia" w:ascii="宋体" w:hAnsi="宋体" w:cs="仿宋_GB2312"/>
          <w:color w:val="000000" w:themeColor="text1"/>
          <w:highlight w:val="yellow"/>
          <w:lang w:val="en-US" w:eastAsia="zh-CN"/>
          <w14:textFill>
            <w14:solidFill>
              <w14:schemeClr w14:val="tx1"/>
            </w14:solidFill>
          </w14:textFill>
        </w:rPr>
        <w:t>12个月，</w:t>
      </w:r>
      <w:r>
        <w:rPr>
          <w:rFonts w:hint="eastAsia" w:ascii="宋体" w:hAnsi="宋体" w:cs="仿宋_GB2312"/>
          <w:color w:val="000000" w:themeColor="text1"/>
          <w14:textFill>
            <w14:solidFill>
              <w14:schemeClr w14:val="tx1"/>
            </w14:solidFill>
          </w14:textFill>
        </w:rPr>
        <w:t>免费保修期内中标人应免费提供保养维修服务。</w:t>
      </w:r>
    </w:p>
    <w:p w14:paraId="3D3718DF">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2.售后服务要求：属于保修范围、内容的项目，中标人应当在接到保修通知之日24小时内派人保修。</w:t>
      </w:r>
    </w:p>
    <w:p w14:paraId="24CC6685">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（三）支付方式</w:t>
      </w:r>
    </w:p>
    <w:p w14:paraId="6E4F5069">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本项目竣工后，采购人对供应商进行履约评价验收，验收合格后，待采购人的资金拨款到达学校账户后，中标供应商提供正规发票，采购人按支付流程一次性支付项目100%款项。</w:t>
      </w:r>
    </w:p>
    <w:p w14:paraId="7C3CE834">
      <w:pPr>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（四）报价要求</w:t>
      </w:r>
    </w:p>
    <w:p w14:paraId="027FB5C0">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1.本</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的</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量清单的投标单价按综合单价方式进行报价；</w:t>
      </w:r>
    </w:p>
    <w:p w14:paraId="3554B6D6">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2.投标人应根据本企业的成本自行决定报价，但不得以低于其企业成本的报价竞标；</w:t>
      </w:r>
    </w:p>
    <w:p w14:paraId="7C6394F9">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3.本项目最高限价为人民币</w:t>
      </w:r>
      <w:r>
        <w:rPr>
          <w:rFonts w:hint="eastAsia" w:ascii="宋体" w:hAnsi="宋体" w:cs="仿宋_GB2312"/>
          <w:color w:val="000000" w:themeColor="text1"/>
          <w:highlight w:val="green"/>
          <w14:textFill>
            <w14:solidFill>
              <w14:schemeClr w14:val="tx1"/>
            </w14:solidFill>
          </w14:textFill>
        </w:rPr>
        <w:t>164740.00元</w:t>
      </w:r>
      <w:r>
        <w:rPr>
          <w:rFonts w:hint="eastAsia" w:ascii="宋体" w:hAnsi="宋体" w:cs="仿宋_GB2312"/>
          <w:color w:val="000000" w:themeColor="text1"/>
          <w14:textFill>
            <w14:solidFill>
              <w14:schemeClr w14:val="tx1"/>
            </w14:solidFill>
          </w14:textFill>
        </w:rPr>
        <w:t>，超出最高限价的投标报价将导致其无效投标；</w:t>
      </w:r>
    </w:p>
    <w:p w14:paraId="4D2454E8">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4.投标人的投标报价，应是本项目招标范围和招标文件及合同条款上所列的各项内容中所述的全部，不得以任何理由予以重复，并以投标人在</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量清单中提出的综合单价或总价为依据；</w:t>
      </w:r>
    </w:p>
    <w:p w14:paraId="71EC1C8F">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5.除非采购人通过修改招标文件予以更正，否则，投标人应毫无例外地按</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量清单中列出的</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项目和数量填报综合单价和合价。投标人未填综合单价或合价的项目，在实施后，将不得以支付，并视作该项费用已包括在其它有价款的综合单价或合价内；</w:t>
      </w:r>
    </w:p>
    <w:p w14:paraId="19A93710">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6.投标人应先到工地踏勘以充分了解工地的位置、情况、道路、储存空间、装卸限制及任何其它足以影响投标报价的情况，任何因忽视或误解工地情况而导致的索赔或工期延长申请将不获批准；</w:t>
      </w:r>
    </w:p>
    <w:p w14:paraId="426308B9">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7.投标人不得期望通过索赔、签证等方式获取补偿，否则，除可能遭到拒绝外，还可能将被作为不良行为记录在案，并可能影响其以后参加政府采购的项目投标。各投标人在投标报价时，应充分考虑投标报价的风险。</w:t>
      </w:r>
    </w:p>
    <w:p w14:paraId="6900D77D">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8.中标人投标总价即为中标人与采购人签订该项目合同的总价。</w:t>
      </w:r>
    </w:p>
    <w:p w14:paraId="28BD16B2">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（1）本项目采用总价包干。对没有填写综合单价与合价的项目费用，应视为已包括在</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量清单的其他综合单价与合价之中。如有</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量清单未包含特征描述内容的漏项，视同已包含在其他项目中，综合单价不予调整。</w:t>
      </w:r>
    </w:p>
    <w:p w14:paraId="46C1B9F6">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（2）投标人的投标报价必须充分考虑到在施工中实施的施工组织设计对</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造价的影响,并在投标报价中反映出来。</w:t>
      </w:r>
    </w:p>
    <w:p w14:paraId="05E93E04">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9.本项目不接受总价优惠折扣形式的报价，投标人应将对项目的优惠直接在清单报价中体现出来。</w:t>
      </w:r>
    </w:p>
    <w:p w14:paraId="4C8ECFC3">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10.采购人委托中标人办理的保险事项：建设</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一切险和第三者责任险，所需的保险费应包含在投标价中，施工中若发生安全事故，一切责任及费用由中标人负责。</w:t>
      </w:r>
    </w:p>
    <w:p w14:paraId="7F0DA012">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11.</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完工后，中标人应恢复修建前的原有状态（</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量按实计算），并使监理</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师和采购人满意，满足政府管理部门的规定和要求。</w:t>
      </w:r>
    </w:p>
    <w:p w14:paraId="65868D0D">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12.如本</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涉及取土和弃土项目，地点、时间、路线中标人应取得国土、城管部门的同意，不得由此带给采购人任何费用的增加。凡是因中标人措施不当而引起的罚款、索赔和指控等由中标人自行承担。投标价不因取土或弃土实际运距与分部分项</w:t>
      </w:r>
      <w:r>
        <w:rPr>
          <w:rFonts w:hint="eastAsia" w:ascii="宋体" w:hAnsi="宋体" w:cs="仿宋_GB2312"/>
          <w:color w:val="000000" w:themeColor="text1"/>
          <w:lang w:eastAsia="zh-CN"/>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量清单不同而作调整。土方回填料必须满足国家技术规范之要求，绿化填土面层必须选用适宜种植的填土。</w:t>
      </w:r>
    </w:p>
    <w:p w14:paraId="729CD800">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13.一切与施工相关的检验实验费（政府有关部门规定由采购人支付的检验实验费除外）已含在投标价中。</w:t>
      </w:r>
    </w:p>
    <w:p w14:paraId="1BE34FDF">
      <w:pPr>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14.中标人的交通维护方案必须保证施工期间的交通组织符合深圳市公安交通管理的有关规定，保证车辆运行通畅和施工安全，其费用已含在投标价中。</w:t>
      </w:r>
    </w:p>
    <w:p w14:paraId="2B268A7F">
      <w:pPr>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十、编制说明</w:t>
      </w:r>
      <w:r>
        <w:rPr>
          <w:rFonts w:hint="eastAsia" w:ascii="宋体" w:hAnsi="宋体"/>
          <w:color w:val="000000" w:themeColor="text1"/>
          <w14:textFill>
            <w14:solidFill>
              <w14:schemeClr w14:val="tx1"/>
            </w14:solidFill>
          </w14:textFill>
        </w:rPr>
        <w:t>：</w:t>
      </w:r>
    </w:p>
    <w:p w14:paraId="1031A0AA">
      <w:pPr>
        <w:ind w:firstLine="480"/>
        <w:rPr>
          <w:rFonts w:ascii="宋体" w:hAnsi="宋体" w:cs="仿宋_GB2312"/>
        </w:rPr>
      </w:pPr>
      <w:r>
        <w:rPr>
          <w:rFonts w:hint="eastAsia" w:ascii="宋体" w:hAnsi="宋体" w:cs="仿宋_GB2312"/>
        </w:rPr>
        <w:t>报价函按照学校格式报价：1.询价函；2.营业执照复印件；3.法人身份证复印件；4.填写供应商基本信息；</w:t>
      </w:r>
      <w:r>
        <w:rPr>
          <w:rFonts w:hint="eastAsia" w:ascii="宋体" w:hAnsi="宋体" w:cs="仿宋_GB2312"/>
          <w:highlight w:val="yellow"/>
        </w:rPr>
        <w:t>5.提供供应商基本信息上《投标（响应）供应商相关人员情况》显示的所有人员最近一个月的社保流水证明。</w:t>
      </w:r>
    </w:p>
    <w:p w14:paraId="1CD26745">
      <w:pPr>
        <w:ind w:firstLine="480"/>
        <w:rPr>
          <w:rFonts w:ascii="宋体" w:hAnsi="宋体" w:cs="仿宋_GB2312"/>
        </w:rPr>
      </w:pPr>
      <w:r>
        <w:rPr>
          <w:rFonts w:hint="eastAsia" w:ascii="宋体" w:hAnsi="宋体" w:cs="仿宋_GB2312"/>
        </w:rPr>
        <w:t>以上所有资料需盖公章，按顺序排列提交。</w:t>
      </w:r>
    </w:p>
    <w:p w14:paraId="6243682C">
      <w:pPr>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十一、其他补充事宜</w:t>
      </w:r>
    </w:p>
    <w:p w14:paraId="0FE60B1B">
      <w:pPr>
        <w:spacing w:line="460" w:lineRule="exact"/>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1.提交响应文件截止时间：</w:t>
      </w:r>
      <w:r>
        <w:rPr>
          <w:rFonts w:hint="eastAsia" w:ascii="宋体" w:hAnsi="宋体" w:cs="仿宋_GB2312"/>
          <w:color w:val="000000" w:themeColor="text1"/>
          <w:highlight w:val="yellow"/>
          <w14:textFill>
            <w14:solidFill>
              <w14:schemeClr w14:val="tx1"/>
            </w14:solidFill>
          </w14:textFill>
        </w:rPr>
        <w:t>2025年</w:t>
      </w:r>
      <w:r>
        <w:rPr>
          <w:rFonts w:hint="eastAsia" w:ascii="宋体" w:hAnsi="宋体" w:cs="仿宋_GB2312"/>
          <w:color w:val="000000" w:themeColor="text1"/>
          <w:highlight w:val="yellow"/>
          <w:lang w:val="en-US" w:eastAsia="zh-CN"/>
          <w14:textFill>
            <w14:solidFill>
              <w14:schemeClr w14:val="tx1"/>
            </w14:solidFill>
          </w14:textFill>
        </w:rPr>
        <w:t>5</w:t>
      </w:r>
      <w:r>
        <w:rPr>
          <w:rFonts w:hint="eastAsia" w:ascii="宋体" w:hAnsi="宋体" w:cs="仿宋_GB2312"/>
          <w:color w:val="000000" w:themeColor="text1"/>
          <w:highlight w:val="yellow"/>
          <w14:textFill>
            <w14:solidFill>
              <w14:schemeClr w14:val="tx1"/>
            </w14:solidFill>
          </w14:textFill>
        </w:rPr>
        <w:t>月</w:t>
      </w:r>
      <w:r>
        <w:rPr>
          <w:rFonts w:hint="eastAsia" w:ascii="宋体" w:hAnsi="宋体" w:cs="仿宋_GB2312"/>
          <w:color w:val="000000" w:themeColor="text1"/>
          <w:highlight w:val="yellow"/>
          <w:lang w:val="en-US" w:eastAsia="zh-CN"/>
          <w14:textFill>
            <w14:solidFill>
              <w14:schemeClr w14:val="tx1"/>
            </w14:solidFill>
          </w14:textFill>
        </w:rPr>
        <w:t xml:space="preserve">5 </w:t>
      </w:r>
      <w:r>
        <w:rPr>
          <w:rFonts w:hint="eastAsia" w:ascii="宋体" w:hAnsi="宋体" w:cs="仿宋_GB2312"/>
          <w:color w:val="000000" w:themeColor="text1"/>
          <w:highlight w:val="yellow"/>
          <w14:textFill>
            <w14:solidFill>
              <w14:schemeClr w14:val="tx1"/>
            </w14:solidFill>
          </w14:textFill>
        </w:rPr>
        <w:t>日17：00（北京时间）</w:t>
      </w:r>
      <w:r>
        <w:rPr>
          <w:rFonts w:hint="eastAsia" w:ascii="宋体" w:hAnsi="宋体" w:cs="仿宋_GB2312"/>
          <w:color w:val="000000" w:themeColor="text1"/>
          <w14:textFill>
            <w14:solidFill>
              <w14:schemeClr w14:val="tx1"/>
            </w14:solidFill>
          </w14:textFill>
        </w:rPr>
        <w:t>。所有《报价文件》（密封，封装处盖公司公章）应于投标截止时间之前递交至深圳艺术学校北门保安室，迟交</w:t>
      </w:r>
      <w:bookmarkStart w:id="2" w:name="_GoBack"/>
      <w:bookmarkEnd w:id="2"/>
      <w:r>
        <w:rPr>
          <w:rFonts w:hint="eastAsia" w:ascii="宋体" w:hAnsi="宋体" w:cs="仿宋_GB2312"/>
          <w:color w:val="000000" w:themeColor="text1"/>
          <w14:textFill>
            <w14:solidFill>
              <w14:schemeClr w14:val="tx1"/>
            </w14:solidFill>
          </w14:textFill>
        </w:rPr>
        <w:t>的《报价文件》将拒绝接收。</w:t>
      </w:r>
    </w:p>
    <w:p w14:paraId="7F30255B">
      <w:pPr>
        <w:spacing w:line="460" w:lineRule="exact"/>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2.供应商有义务在招标活动期间浏览深圳艺术学校网站（https://www.szas.com/index.aspx），我校在以上网站上公布的与本次招标项目有关的信息视为已送达各投标人。我校不再电话通知各投标人。</w:t>
      </w:r>
    </w:p>
    <w:p w14:paraId="000ADDF8">
      <w:pPr>
        <w:spacing w:line="460" w:lineRule="exact"/>
        <w:ind w:firstLine="48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3.有关本次采购之事宜，按如下联系方式以书面或电话等形式进行查询（联系人：</w:t>
      </w:r>
      <w:r>
        <w:rPr>
          <w:rFonts w:hint="eastAsia" w:ascii="宋体" w:hAnsi="宋体" w:cs="仿宋_GB2312"/>
          <w:color w:val="000000" w:themeColor="text1"/>
          <w:highlight w:val="yellow"/>
          <w14:textFill>
            <w14:solidFill>
              <w14:schemeClr w14:val="tx1"/>
            </w14:solidFill>
          </w14:textFill>
        </w:rPr>
        <w:t>许老师</w:t>
      </w:r>
      <w:r>
        <w:rPr>
          <w:rFonts w:hint="eastAsia" w:ascii="宋体" w:hAnsi="宋体" w:cs="仿宋_GB2312"/>
          <w:color w:val="000000" w:themeColor="text1"/>
          <w14:textFill>
            <w14:solidFill>
              <w14:schemeClr w14:val="tx1"/>
            </w14:solidFill>
          </w14:textFill>
        </w:rPr>
        <w:t>，联系方式：0755-83262055）。</w:t>
      </w:r>
    </w:p>
    <w:p w14:paraId="5A5BFE77">
      <w:pPr>
        <w:widowControl/>
        <w:spacing w:after="120" w:line="560" w:lineRule="exact"/>
        <w:ind w:firstLine="480"/>
      </w:pPr>
      <w:r>
        <w:rPr>
          <w:rFonts w:hint="eastAsia" w:ascii="宋体" w:hAnsi="宋体" w:cs="仿宋_GB2312"/>
          <w:color w:val="000000" w:themeColor="text1"/>
          <w14:textFill>
            <w14:solidFill>
              <w14:schemeClr w14:val="tx1"/>
            </w14:solidFill>
          </w14:textFill>
        </w:rPr>
        <w:t>4.学校拟对采购工作进行全过程监督。对采购过程中的违规违纪行为，一经发现，严肃追究相关责任人的责任；涉及违法犯罪的，依法移送司法机关处理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。同时，鼓励全体教职工对采购工作进行监督，设立专门的投诉举报渠道，确保采购工作在阳光下运行，举报电话：0755-83261870。</w:t>
      </w:r>
      <w:r>
        <w:rPr>
          <w:color w:val="000000" w:themeColor="text1"/>
          <w14:textFill>
            <w14:solidFill>
              <w14:schemeClr w14:val="tx1"/>
            </w14:solidFill>
          </w14:textFill>
        </w:rPr>
        <w:br w:type="page"/>
      </w:r>
      <w:r>
        <w:t>附件</w:t>
      </w:r>
      <w:r>
        <w:rPr>
          <w:rFonts w:hint="eastAsia"/>
        </w:rPr>
        <w:t>1</w:t>
      </w:r>
    </w:p>
    <w:p w14:paraId="3F0FC97A">
      <w:pPr>
        <w:pStyle w:val="6"/>
        <w:kinsoku w:val="0"/>
        <w:overflowPunct w:val="0"/>
        <w:spacing w:before="35"/>
        <w:ind w:left="82" w:firstLine="880"/>
        <w:jc w:val="center"/>
        <w:rPr>
          <w:rFonts w:ascii="仿宋_GB2312" w:hAnsi="仿宋_GB2312" w:eastAsia="仿宋_GB2312" w:cs="仿宋_GB2312"/>
          <w:color w:val="000000"/>
          <w:sz w:val="32"/>
          <w:szCs w:val="32"/>
          <w:u w:val="single"/>
        </w:rPr>
      </w:pPr>
      <w:r>
        <w:rPr>
          <w:rFonts w:hint="eastAsia" w:ascii="仿宋" w:hAnsi="仿宋" w:eastAsia="仿宋" w:cs="仿宋"/>
          <w:color w:val="000000"/>
          <w:sz w:val="44"/>
          <w:szCs w:val="44"/>
        </w:rPr>
        <w:t>询   价   函</w:t>
      </w:r>
    </w:p>
    <w:p w14:paraId="1F60D7E7">
      <w:pPr>
        <w:pStyle w:val="12"/>
        <w:tabs>
          <w:tab w:val="left" w:pos="2608"/>
        </w:tabs>
        <w:kinsoku w:val="0"/>
        <w:overflowPunct w:val="0"/>
        <w:spacing w:before="35" w:line="360" w:lineRule="auto"/>
        <w:ind w:left="300" w:right="218"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rPr>
        <w:t>公司：</w:t>
      </w:r>
    </w:p>
    <w:p w14:paraId="5E07C2E8">
      <w:pPr>
        <w:pStyle w:val="12"/>
        <w:tabs>
          <w:tab w:val="left" w:pos="5234"/>
        </w:tabs>
        <w:kinsoku w:val="0"/>
        <w:overflowPunct w:val="0"/>
        <w:autoSpaceDE w:val="0"/>
        <w:autoSpaceDN w:val="0"/>
        <w:adjustRightInd w:val="0"/>
        <w:spacing w:line="360" w:lineRule="auto"/>
        <w:ind w:left="119" w:right="215" w:firstLine="636"/>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1"/>
          <w:sz w:val="32"/>
          <w:szCs w:val="32"/>
        </w:rPr>
        <w:t>我单位需采购</w:t>
      </w:r>
      <w:r>
        <w:rPr>
          <w:rFonts w:hint="eastAsia" w:ascii="仿宋_GB2312" w:hAnsi="仿宋_GB2312" w:eastAsia="仿宋_GB2312" w:cs="仿宋_GB2312"/>
          <w:color w:val="000000"/>
          <w:spacing w:val="-1"/>
          <w:sz w:val="32"/>
          <w:szCs w:val="32"/>
          <w:u w:val="single"/>
        </w:rPr>
        <w:t>深圳艺术学校综合剧场专业设备采购项目</w:t>
      </w:r>
      <w:r>
        <w:rPr>
          <w:rFonts w:hint="eastAsia" w:ascii="仿宋_GB2312" w:hAnsi="仿宋_GB2312" w:eastAsia="仿宋_GB2312" w:cs="仿宋_GB2312"/>
          <w:color w:val="000000"/>
          <w:spacing w:val="-2"/>
          <w:sz w:val="32"/>
          <w:szCs w:val="32"/>
        </w:rPr>
        <w:t>，现按规定进行询价采购，欢迎贵司参与报价</w:t>
      </w:r>
      <w:r>
        <w:rPr>
          <w:rFonts w:hint="eastAsia" w:ascii="仿宋_GB2312" w:hAnsi="仿宋_GB2312" w:eastAsia="仿宋_GB2312" w:cs="仿宋_GB2312"/>
          <w:color w:val="000000"/>
          <w:sz w:val="32"/>
          <w:szCs w:val="32"/>
        </w:rPr>
        <w:t>投标，并请盖章回函确认。  特此函询！</w:t>
      </w:r>
    </w:p>
    <w:p w14:paraId="41AD83F7">
      <w:pPr>
        <w:pStyle w:val="12"/>
        <w:tabs>
          <w:tab w:val="left" w:pos="8672"/>
          <w:tab w:val="left" w:pos="9196"/>
        </w:tabs>
        <w:kinsoku w:val="0"/>
        <w:overflowPunct w:val="0"/>
        <w:spacing w:line="333" w:lineRule="auto"/>
        <w:ind w:right="215" w:firstLine="0" w:firstLineChars="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深圳艺术学校 </w:t>
      </w:r>
    </w:p>
    <w:p w14:paraId="3B3C6444">
      <w:pPr>
        <w:pStyle w:val="12"/>
        <w:tabs>
          <w:tab w:val="left" w:pos="8672"/>
          <w:tab w:val="left" w:pos="9196"/>
        </w:tabs>
        <w:kinsoku w:val="0"/>
        <w:overflowPunct w:val="0"/>
        <w:spacing w:line="333" w:lineRule="auto"/>
        <w:ind w:right="215" w:firstLine="0" w:firstLineChars="0"/>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tbl>
      <w:tblPr>
        <w:tblStyle w:val="20"/>
        <w:tblpPr w:leftFromText="180" w:rightFromText="180" w:vertAnchor="text" w:horzAnchor="page" w:tblpXSpec="center" w:tblpY="147"/>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94"/>
        <w:gridCol w:w="1117"/>
        <w:gridCol w:w="987"/>
        <w:gridCol w:w="1164"/>
        <w:gridCol w:w="941"/>
      </w:tblGrid>
      <w:tr w14:paraId="3CCB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3188CFB0">
            <w:pPr>
              <w:spacing w:line="240" w:lineRule="auto"/>
              <w:ind w:firstLine="0" w:firstLineChars="0"/>
              <w:jc w:val="left"/>
              <w:rPr>
                <w:rFonts w:ascii="仿宋" w:hAnsi="仿宋" w:eastAsia="仿宋" w:cs="仿宋"/>
              </w:rPr>
            </w:pPr>
            <w:r>
              <w:rPr>
                <w:rFonts w:hint="eastAsia" w:ascii="仿宋" w:hAnsi="仿宋" w:eastAsia="仿宋" w:cs="仿宋"/>
              </w:rPr>
              <w:t>序号</w:t>
            </w:r>
          </w:p>
        </w:tc>
        <w:tc>
          <w:tcPr>
            <w:tcW w:w="3894" w:type="dxa"/>
            <w:tcBorders>
              <w:top w:val="single" w:color="auto" w:sz="4" w:space="0"/>
              <w:left w:val="single" w:color="auto" w:sz="4" w:space="0"/>
              <w:bottom w:val="single" w:color="auto" w:sz="4" w:space="0"/>
              <w:right w:val="single" w:color="auto" w:sz="4" w:space="0"/>
            </w:tcBorders>
            <w:vAlign w:val="center"/>
          </w:tcPr>
          <w:p w14:paraId="777A826C">
            <w:pPr>
              <w:spacing w:line="240" w:lineRule="auto"/>
              <w:ind w:firstLine="480"/>
              <w:jc w:val="left"/>
              <w:rPr>
                <w:rFonts w:ascii="仿宋" w:hAnsi="仿宋" w:eastAsia="仿宋" w:cs="仿宋"/>
              </w:rPr>
            </w:pPr>
            <w:r>
              <w:rPr>
                <w:rFonts w:hint="eastAsia" w:ascii="仿宋" w:hAnsi="仿宋" w:eastAsia="仿宋" w:cs="仿宋"/>
              </w:rPr>
              <w:t>服务名称及规格</w:t>
            </w:r>
          </w:p>
        </w:tc>
        <w:tc>
          <w:tcPr>
            <w:tcW w:w="1117" w:type="dxa"/>
            <w:tcBorders>
              <w:top w:val="single" w:color="auto" w:sz="4" w:space="0"/>
              <w:left w:val="single" w:color="auto" w:sz="4" w:space="0"/>
              <w:bottom w:val="single" w:color="auto" w:sz="4" w:space="0"/>
              <w:right w:val="single" w:color="auto" w:sz="4" w:space="0"/>
            </w:tcBorders>
            <w:vAlign w:val="center"/>
          </w:tcPr>
          <w:p w14:paraId="337A3CE4">
            <w:pPr>
              <w:spacing w:line="240" w:lineRule="auto"/>
              <w:ind w:firstLine="0" w:firstLineChars="0"/>
              <w:jc w:val="left"/>
              <w:rPr>
                <w:rFonts w:ascii="仿宋" w:hAnsi="仿宋" w:eastAsia="仿宋" w:cs="仿宋"/>
              </w:rPr>
            </w:pPr>
            <w:r>
              <w:rPr>
                <w:rFonts w:hint="eastAsia" w:ascii="仿宋" w:hAnsi="仿宋" w:eastAsia="仿宋" w:cs="仿宋"/>
              </w:rPr>
              <w:t>数量</w:t>
            </w:r>
          </w:p>
        </w:tc>
        <w:tc>
          <w:tcPr>
            <w:tcW w:w="987" w:type="dxa"/>
            <w:tcBorders>
              <w:top w:val="single" w:color="auto" w:sz="4" w:space="0"/>
              <w:left w:val="single" w:color="auto" w:sz="4" w:space="0"/>
              <w:bottom w:val="single" w:color="auto" w:sz="4" w:space="0"/>
              <w:right w:val="single" w:color="auto" w:sz="4" w:space="0"/>
            </w:tcBorders>
            <w:vAlign w:val="center"/>
          </w:tcPr>
          <w:p w14:paraId="56D825F7">
            <w:pPr>
              <w:spacing w:line="240" w:lineRule="auto"/>
              <w:ind w:firstLine="0" w:firstLineChars="0"/>
              <w:jc w:val="left"/>
              <w:rPr>
                <w:rFonts w:ascii="仿宋" w:hAnsi="仿宋" w:eastAsia="仿宋" w:cs="仿宋"/>
              </w:rPr>
            </w:pPr>
            <w:r>
              <w:rPr>
                <w:rFonts w:hint="eastAsia" w:ascii="仿宋" w:hAnsi="仿宋" w:eastAsia="仿宋" w:cs="仿宋"/>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1040DCD6">
            <w:pPr>
              <w:spacing w:line="240" w:lineRule="auto"/>
              <w:ind w:firstLine="0" w:firstLineChars="0"/>
              <w:jc w:val="left"/>
              <w:rPr>
                <w:rFonts w:ascii="仿宋" w:hAnsi="仿宋" w:eastAsia="仿宋" w:cs="仿宋"/>
              </w:rPr>
            </w:pPr>
            <w:r>
              <w:rPr>
                <w:rFonts w:hint="eastAsia" w:ascii="仿宋" w:hAnsi="仿宋" w:eastAsia="仿宋" w:cs="仿宋"/>
              </w:rPr>
              <w:t>总价</w:t>
            </w:r>
          </w:p>
        </w:tc>
        <w:tc>
          <w:tcPr>
            <w:tcW w:w="941" w:type="dxa"/>
            <w:tcBorders>
              <w:top w:val="single" w:color="auto" w:sz="4" w:space="0"/>
              <w:left w:val="single" w:color="auto" w:sz="4" w:space="0"/>
              <w:bottom w:val="single" w:color="auto" w:sz="4" w:space="0"/>
              <w:right w:val="single" w:color="auto" w:sz="4" w:space="0"/>
            </w:tcBorders>
            <w:vAlign w:val="center"/>
          </w:tcPr>
          <w:p w14:paraId="3D095FC5">
            <w:pPr>
              <w:spacing w:line="240" w:lineRule="auto"/>
              <w:ind w:firstLine="0" w:firstLineChars="0"/>
              <w:jc w:val="left"/>
              <w:rPr>
                <w:rFonts w:ascii="仿宋" w:hAnsi="仿宋" w:eastAsia="仿宋" w:cs="仿宋"/>
              </w:rPr>
            </w:pPr>
            <w:r>
              <w:rPr>
                <w:rFonts w:hint="eastAsia" w:ascii="仿宋" w:hAnsi="仿宋" w:eastAsia="仿宋" w:cs="仿宋"/>
              </w:rPr>
              <w:t>备注</w:t>
            </w:r>
          </w:p>
        </w:tc>
      </w:tr>
      <w:tr w14:paraId="16ED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8C2BB67">
            <w:pPr>
              <w:spacing w:line="240" w:lineRule="auto"/>
              <w:ind w:firstLine="480"/>
              <w:jc w:val="center"/>
              <w:rPr>
                <w:rFonts w:ascii="仿宋" w:hAnsi="仿宋" w:eastAsia="仿宋" w:cs="仿宋"/>
              </w:rPr>
            </w:pPr>
            <w:r>
              <w:rPr>
                <w:rFonts w:hint="eastAsia" w:ascii="仿宋" w:hAnsi="仿宋" w:eastAsia="仿宋" w:cs="仿宋"/>
              </w:rPr>
              <w:t>1</w:t>
            </w:r>
          </w:p>
        </w:tc>
        <w:tc>
          <w:tcPr>
            <w:tcW w:w="3894" w:type="dxa"/>
            <w:tcBorders>
              <w:top w:val="single" w:color="auto" w:sz="4" w:space="0"/>
              <w:left w:val="single" w:color="auto" w:sz="4" w:space="0"/>
              <w:bottom w:val="single" w:color="auto" w:sz="4" w:space="0"/>
              <w:right w:val="single" w:color="auto" w:sz="4" w:space="0"/>
            </w:tcBorders>
            <w:vAlign w:val="center"/>
          </w:tcPr>
          <w:p w14:paraId="08CA21D9">
            <w:pPr>
              <w:spacing w:line="240" w:lineRule="auto"/>
              <w:ind w:firstLine="480"/>
              <w:jc w:val="center"/>
              <w:rPr>
                <w:rFonts w:ascii="仿宋" w:hAnsi="仿宋" w:eastAsia="仿宋" w:cs="仿宋"/>
              </w:rPr>
            </w:pPr>
          </w:p>
        </w:tc>
        <w:tc>
          <w:tcPr>
            <w:tcW w:w="1117" w:type="dxa"/>
            <w:tcBorders>
              <w:top w:val="single" w:color="auto" w:sz="4" w:space="0"/>
              <w:left w:val="single" w:color="auto" w:sz="4" w:space="0"/>
              <w:bottom w:val="single" w:color="auto" w:sz="4" w:space="0"/>
              <w:right w:val="single" w:color="auto" w:sz="4" w:space="0"/>
            </w:tcBorders>
            <w:vAlign w:val="center"/>
          </w:tcPr>
          <w:p w14:paraId="726D232B">
            <w:pPr>
              <w:spacing w:line="240" w:lineRule="auto"/>
              <w:ind w:firstLine="480"/>
              <w:jc w:val="center"/>
              <w:rPr>
                <w:rFonts w:ascii="仿宋" w:hAnsi="仿宋" w:eastAsia="仿宋" w:cs="仿宋"/>
              </w:rPr>
            </w:pPr>
          </w:p>
        </w:tc>
        <w:tc>
          <w:tcPr>
            <w:tcW w:w="987" w:type="dxa"/>
            <w:tcBorders>
              <w:top w:val="single" w:color="auto" w:sz="4" w:space="0"/>
              <w:left w:val="single" w:color="auto" w:sz="4" w:space="0"/>
              <w:bottom w:val="single" w:color="auto" w:sz="4" w:space="0"/>
              <w:right w:val="single" w:color="auto" w:sz="4" w:space="0"/>
            </w:tcBorders>
            <w:vAlign w:val="center"/>
          </w:tcPr>
          <w:p w14:paraId="557DBD4B">
            <w:pPr>
              <w:spacing w:line="240" w:lineRule="auto"/>
              <w:ind w:firstLine="480"/>
              <w:jc w:val="center"/>
              <w:rPr>
                <w:rFonts w:ascii="仿宋" w:hAnsi="仿宋" w:eastAsia="仿宋" w:cs="仿宋"/>
              </w:rPr>
            </w:pPr>
          </w:p>
        </w:tc>
        <w:tc>
          <w:tcPr>
            <w:tcW w:w="1164" w:type="dxa"/>
            <w:tcBorders>
              <w:top w:val="single" w:color="auto" w:sz="4" w:space="0"/>
              <w:left w:val="single" w:color="auto" w:sz="4" w:space="0"/>
              <w:bottom w:val="single" w:color="auto" w:sz="4" w:space="0"/>
              <w:right w:val="single" w:color="auto" w:sz="4" w:space="0"/>
            </w:tcBorders>
            <w:vAlign w:val="center"/>
          </w:tcPr>
          <w:p w14:paraId="096837C6">
            <w:pPr>
              <w:spacing w:line="240" w:lineRule="auto"/>
              <w:ind w:firstLine="480"/>
              <w:jc w:val="center"/>
              <w:rPr>
                <w:rFonts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0D17E365">
            <w:pPr>
              <w:spacing w:line="240" w:lineRule="auto"/>
              <w:ind w:firstLine="480"/>
              <w:jc w:val="center"/>
              <w:rPr>
                <w:rFonts w:ascii="仿宋" w:hAnsi="仿宋" w:eastAsia="仿宋" w:cs="仿宋"/>
              </w:rPr>
            </w:pPr>
          </w:p>
        </w:tc>
      </w:tr>
      <w:tr w14:paraId="435E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4E411797">
            <w:pPr>
              <w:spacing w:line="240" w:lineRule="auto"/>
              <w:ind w:firstLine="480"/>
              <w:jc w:val="center"/>
              <w:rPr>
                <w:rFonts w:ascii="仿宋" w:hAnsi="仿宋" w:eastAsia="仿宋" w:cs="仿宋"/>
              </w:rPr>
            </w:pPr>
            <w:r>
              <w:rPr>
                <w:rFonts w:hint="eastAsia" w:ascii="仿宋" w:hAnsi="仿宋" w:eastAsia="仿宋" w:cs="仿宋"/>
              </w:rPr>
              <w:t>2</w:t>
            </w:r>
          </w:p>
        </w:tc>
        <w:tc>
          <w:tcPr>
            <w:tcW w:w="3894" w:type="dxa"/>
            <w:tcBorders>
              <w:top w:val="single" w:color="auto" w:sz="4" w:space="0"/>
              <w:left w:val="single" w:color="auto" w:sz="4" w:space="0"/>
              <w:bottom w:val="single" w:color="auto" w:sz="4" w:space="0"/>
              <w:right w:val="single" w:color="auto" w:sz="4" w:space="0"/>
            </w:tcBorders>
            <w:vAlign w:val="center"/>
          </w:tcPr>
          <w:p w14:paraId="7C195E80">
            <w:pPr>
              <w:spacing w:line="240" w:lineRule="auto"/>
              <w:ind w:firstLine="480"/>
              <w:jc w:val="center"/>
              <w:rPr>
                <w:rFonts w:ascii="仿宋" w:hAnsi="仿宋" w:eastAsia="仿宋" w:cs="仿宋"/>
              </w:rPr>
            </w:pPr>
          </w:p>
        </w:tc>
        <w:tc>
          <w:tcPr>
            <w:tcW w:w="1117" w:type="dxa"/>
            <w:tcBorders>
              <w:top w:val="single" w:color="auto" w:sz="4" w:space="0"/>
              <w:left w:val="single" w:color="auto" w:sz="4" w:space="0"/>
              <w:bottom w:val="single" w:color="auto" w:sz="4" w:space="0"/>
              <w:right w:val="single" w:color="auto" w:sz="4" w:space="0"/>
            </w:tcBorders>
            <w:vAlign w:val="center"/>
          </w:tcPr>
          <w:p w14:paraId="189CDDF9">
            <w:pPr>
              <w:spacing w:line="240" w:lineRule="auto"/>
              <w:ind w:firstLine="480"/>
              <w:jc w:val="center"/>
              <w:rPr>
                <w:rFonts w:ascii="仿宋" w:hAnsi="仿宋" w:eastAsia="仿宋" w:cs="仿宋"/>
              </w:rPr>
            </w:pPr>
          </w:p>
        </w:tc>
        <w:tc>
          <w:tcPr>
            <w:tcW w:w="987" w:type="dxa"/>
            <w:tcBorders>
              <w:top w:val="single" w:color="auto" w:sz="4" w:space="0"/>
              <w:left w:val="single" w:color="auto" w:sz="4" w:space="0"/>
              <w:bottom w:val="single" w:color="auto" w:sz="4" w:space="0"/>
              <w:right w:val="single" w:color="auto" w:sz="4" w:space="0"/>
            </w:tcBorders>
            <w:vAlign w:val="center"/>
          </w:tcPr>
          <w:p w14:paraId="52307891">
            <w:pPr>
              <w:spacing w:line="240" w:lineRule="auto"/>
              <w:ind w:firstLine="480"/>
              <w:jc w:val="center"/>
              <w:rPr>
                <w:rFonts w:ascii="仿宋" w:hAnsi="仿宋" w:eastAsia="仿宋" w:cs="仿宋"/>
              </w:rPr>
            </w:pPr>
          </w:p>
        </w:tc>
        <w:tc>
          <w:tcPr>
            <w:tcW w:w="1164" w:type="dxa"/>
            <w:tcBorders>
              <w:top w:val="single" w:color="auto" w:sz="4" w:space="0"/>
              <w:left w:val="single" w:color="auto" w:sz="4" w:space="0"/>
              <w:bottom w:val="single" w:color="auto" w:sz="4" w:space="0"/>
              <w:right w:val="single" w:color="auto" w:sz="4" w:space="0"/>
            </w:tcBorders>
            <w:vAlign w:val="center"/>
          </w:tcPr>
          <w:p w14:paraId="289FAAEA">
            <w:pPr>
              <w:spacing w:line="240" w:lineRule="auto"/>
              <w:ind w:firstLine="480"/>
              <w:jc w:val="center"/>
              <w:rPr>
                <w:rFonts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5582ABDB">
            <w:pPr>
              <w:spacing w:line="240" w:lineRule="auto"/>
              <w:ind w:firstLine="480"/>
              <w:jc w:val="center"/>
              <w:rPr>
                <w:rFonts w:ascii="仿宋" w:hAnsi="仿宋" w:eastAsia="仿宋" w:cs="仿宋"/>
              </w:rPr>
            </w:pPr>
          </w:p>
        </w:tc>
      </w:tr>
      <w:tr w14:paraId="5540B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202232DC">
            <w:pPr>
              <w:spacing w:line="240" w:lineRule="auto"/>
              <w:ind w:firstLine="480"/>
              <w:rPr>
                <w:rFonts w:ascii="仿宋" w:hAnsi="仿宋" w:eastAsia="仿宋" w:cs="仿宋"/>
              </w:rPr>
            </w:pPr>
            <w:r>
              <w:rPr>
                <w:rFonts w:hint="eastAsia" w:ascii="仿宋" w:hAnsi="仿宋" w:eastAsia="仿宋" w:cs="仿宋"/>
              </w:rPr>
              <w:t>3</w:t>
            </w:r>
          </w:p>
        </w:tc>
        <w:tc>
          <w:tcPr>
            <w:tcW w:w="8103" w:type="dxa"/>
            <w:gridSpan w:val="5"/>
            <w:tcBorders>
              <w:top w:val="single" w:color="auto" w:sz="4" w:space="0"/>
              <w:left w:val="single" w:color="auto" w:sz="4" w:space="0"/>
              <w:bottom w:val="single" w:color="auto" w:sz="4" w:space="0"/>
              <w:right w:val="single" w:color="auto" w:sz="4" w:space="0"/>
            </w:tcBorders>
            <w:vAlign w:val="center"/>
          </w:tcPr>
          <w:p w14:paraId="5641C358">
            <w:pPr>
              <w:spacing w:line="240" w:lineRule="auto"/>
              <w:ind w:firstLine="0" w:firstLineChars="0"/>
              <w:jc w:val="left"/>
              <w:rPr>
                <w:rFonts w:ascii="仿宋" w:hAnsi="仿宋" w:eastAsia="仿宋" w:cs="仿宋"/>
              </w:rPr>
            </w:pPr>
            <w:r>
              <w:rPr>
                <w:rFonts w:hint="eastAsia" w:ascii="仿宋" w:hAnsi="仿宋" w:eastAsia="仿宋" w:cs="仿宋"/>
              </w:rPr>
              <w:t>1.服务期：自合同签约之日起</w:t>
            </w:r>
            <w:r>
              <w:rPr>
                <w:rFonts w:hint="eastAsia" w:ascii="仿宋" w:hAnsi="仿宋" w:eastAsia="仿宋" w:cs="仿宋"/>
                <w:lang w:val="en-US" w:eastAsia="zh-CN"/>
              </w:rPr>
              <w:t>30工作日</w:t>
            </w:r>
            <w:r>
              <w:rPr>
                <w:rFonts w:hint="eastAsia" w:ascii="仿宋" w:hAnsi="仿宋" w:eastAsia="仿宋" w:cs="仿宋"/>
              </w:rPr>
              <w:t>；</w:t>
            </w:r>
          </w:p>
          <w:p w14:paraId="434E17CC">
            <w:pPr>
              <w:spacing w:line="240" w:lineRule="auto"/>
              <w:ind w:firstLine="0" w:firstLineChars="0"/>
              <w:jc w:val="left"/>
              <w:rPr>
                <w:rFonts w:ascii="仿宋" w:hAnsi="仿宋" w:eastAsia="仿宋" w:cs="仿宋"/>
              </w:rPr>
            </w:pPr>
            <w:r>
              <w:rPr>
                <w:rFonts w:hint="eastAsia" w:ascii="仿宋" w:hAnsi="仿宋" w:eastAsia="仿宋" w:cs="仿宋"/>
              </w:rPr>
              <w:t>2.支付：本项目按</w:t>
            </w:r>
            <w:r>
              <w:rPr>
                <w:rFonts w:hint="eastAsia" w:ascii="仿宋" w:hAnsi="仿宋" w:eastAsia="仿宋" w:cs="仿宋"/>
                <w:lang w:val="en-US" w:eastAsia="zh-CN"/>
              </w:rPr>
              <w:t>一次</w:t>
            </w:r>
            <w:r>
              <w:rPr>
                <w:rFonts w:hint="eastAsia" w:ascii="仿宋" w:hAnsi="仿宋" w:eastAsia="仿宋" w:cs="仿宋"/>
              </w:rPr>
              <w:t>性结算支付服务费；</w:t>
            </w:r>
          </w:p>
        </w:tc>
      </w:tr>
      <w:tr w14:paraId="5534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34" w:type="dxa"/>
            <w:gridSpan w:val="4"/>
            <w:tcBorders>
              <w:top w:val="single" w:color="auto" w:sz="4" w:space="0"/>
              <w:left w:val="single" w:color="auto" w:sz="4" w:space="0"/>
              <w:bottom w:val="single" w:color="auto" w:sz="4" w:space="0"/>
              <w:right w:val="single" w:color="auto" w:sz="4" w:space="0"/>
            </w:tcBorders>
            <w:vAlign w:val="center"/>
          </w:tcPr>
          <w:p w14:paraId="74334EC1">
            <w:pPr>
              <w:spacing w:line="240" w:lineRule="auto"/>
              <w:ind w:firstLine="480"/>
              <w:jc w:val="center"/>
              <w:rPr>
                <w:rFonts w:ascii="仿宋" w:hAnsi="仿宋" w:eastAsia="仿宋" w:cs="仿宋"/>
              </w:rPr>
            </w:pPr>
            <w:r>
              <w:rPr>
                <w:rFonts w:hint="eastAsia" w:ascii="仿宋" w:hAnsi="仿宋" w:eastAsia="仿宋" w:cs="仿宋"/>
              </w:rPr>
              <w:t>合计</w:t>
            </w:r>
          </w:p>
        </w:tc>
        <w:tc>
          <w:tcPr>
            <w:tcW w:w="1164" w:type="dxa"/>
            <w:tcBorders>
              <w:top w:val="single" w:color="auto" w:sz="4" w:space="0"/>
              <w:left w:val="single" w:color="auto" w:sz="4" w:space="0"/>
              <w:bottom w:val="single" w:color="auto" w:sz="4" w:space="0"/>
              <w:right w:val="single" w:color="auto" w:sz="4" w:space="0"/>
            </w:tcBorders>
            <w:vAlign w:val="center"/>
          </w:tcPr>
          <w:p w14:paraId="78C432B0">
            <w:pPr>
              <w:spacing w:line="240" w:lineRule="auto"/>
              <w:ind w:firstLine="480"/>
              <w:jc w:val="center"/>
              <w:rPr>
                <w:rFonts w:ascii="仿宋" w:hAnsi="仿宋" w:eastAsia="仿宋" w:cs="仿宋"/>
              </w:rPr>
            </w:pPr>
          </w:p>
        </w:tc>
        <w:tc>
          <w:tcPr>
            <w:tcW w:w="941" w:type="dxa"/>
            <w:tcBorders>
              <w:top w:val="single" w:color="auto" w:sz="4" w:space="0"/>
              <w:left w:val="single" w:color="auto" w:sz="4" w:space="0"/>
              <w:bottom w:val="single" w:color="auto" w:sz="4" w:space="0"/>
              <w:right w:val="single" w:color="auto" w:sz="4" w:space="0"/>
            </w:tcBorders>
            <w:vAlign w:val="center"/>
          </w:tcPr>
          <w:p w14:paraId="27109EA2">
            <w:pPr>
              <w:spacing w:line="240" w:lineRule="auto"/>
              <w:ind w:firstLine="480"/>
              <w:jc w:val="center"/>
              <w:rPr>
                <w:rFonts w:ascii="仿宋" w:hAnsi="仿宋" w:eastAsia="仿宋" w:cs="仿宋"/>
              </w:rPr>
            </w:pPr>
          </w:p>
        </w:tc>
      </w:tr>
    </w:tbl>
    <w:p w14:paraId="232F5C31">
      <w:pPr>
        <w:ind w:firstLine="0" w:firstLineChars="0"/>
        <w:rPr>
          <w:rFonts w:ascii="仿宋_GB2312" w:hAnsi="仿宋_GB2312" w:eastAsia="仿宋_GB2312" w:cs="仿宋_GB2312"/>
          <w:color w:val="000000"/>
          <w:sz w:val="32"/>
          <w:szCs w:val="32"/>
        </w:rPr>
      </w:pPr>
    </w:p>
    <w:p w14:paraId="10F59DCC">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报价单位法人（签字）：</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 xml:space="preserve">             联系电话：</w:t>
      </w:r>
    </w:p>
    <w:p w14:paraId="551F1BDB">
      <w:pPr>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身份证号码：</w:t>
      </w:r>
    </w:p>
    <w:p w14:paraId="3D9E38AC">
      <w:pPr>
        <w:pStyle w:val="12"/>
        <w:kinsoku w:val="0"/>
        <w:overflowPunct w:val="0"/>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附件：营业执照和法人身份证复印件</w:t>
      </w:r>
    </w:p>
    <w:p w14:paraId="4077DFBF">
      <w:pPr>
        <w:pStyle w:val="12"/>
        <w:kinsoku w:val="0"/>
        <w:overflowPunct w:val="0"/>
        <w:spacing w:before="5"/>
        <w:ind w:firstLine="640"/>
        <w:rPr>
          <w:rFonts w:ascii="仿宋_GB2312" w:hAnsi="仿宋_GB2312" w:eastAsia="仿宋_GB2312" w:cs="仿宋_GB2312"/>
          <w:color w:val="000000"/>
          <w:sz w:val="32"/>
          <w:szCs w:val="32"/>
        </w:rPr>
      </w:pPr>
    </w:p>
    <w:p w14:paraId="0103BA3F">
      <w:pPr>
        <w:pStyle w:val="12"/>
        <w:kinsoku w:val="0"/>
        <w:overflowPunct w:val="0"/>
        <w:spacing w:line="20" w:lineRule="exact"/>
        <w:ind w:left="5396" w:firstLine="640"/>
        <w:rPr>
          <w:rFonts w:ascii="仿宋_GB2312" w:hAnsi="仿宋_GB2312" w:eastAsia="仿宋_GB2312" w:cs="仿宋_GB2312"/>
          <w:color w:val="000000"/>
          <w:sz w:val="32"/>
          <w:szCs w:val="32"/>
        </w:rPr>
      </w:pPr>
    </w:p>
    <w:p w14:paraId="648E5759">
      <w:pPr>
        <w:pStyle w:val="12"/>
        <w:kinsoku w:val="0"/>
        <w:overflowPunct w:val="0"/>
        <w:spacing w:before="1"/>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公司（盖章）    年   月   日</w:t>
      </w:r>
    </w:p>
    <w:p w14:paraId="5FC3905C">
      <w:pPr>
        <w:spacing w:line="240" w:lineRule="auto"/>
        <w:ind w:firstLine="0" w:firstLineChars="0"/>
        <w:rPr>
          <w:rFonts w:ascii="宋体" w:hAnsi="宋体" w:cs="黑体"/>
          <w:color w:val="000000"/>
        </w:rPr>
      </w:pPr>
      <w:r>
        <w:rPr>
          <w:rFonts w:hint="eastAsia" w:ascii="宋体" w:hAnsi="宋体" w:cs="黑体"/>
          <w:color w:val="000000"/>
        </w:rPr>
        <w:t>附件2</w:t>
      </w:r>
    </w:p>
    <w:p w14:paraId="1FF24546">
      <w:pPr>
        <w:snapToGrid w:val="0"/>
        <w:spacing w:line="240" w:lineRule="auto"/>
        <w:ind w:firstLine="0" w:firstLineChars="0"/>
        <w:jc w:val="center"/>
        <w:outlineLvl w:val="0"/>
        <w:rPr>
          <w:rFonts w:ascii="宋体" w:hAnsi="宋体" w:cs="方正小标宋简体"/>
          <w:sz w:val="40"/>
          <w:szCs w:val="40"/>
        </w:rPr>
      </w:pPr>
      <w:r>
        <w:rPr>
          <w:rFonts w:hint="eastAsia" w:ascii="宋体" w:hAnsi="宋体" w:cs="方正小标宋简体"/>
          <w:sz w:val="40"/>
          <w:szCs w:val="40"/>
        </w:rPr>
        <w:t>供应商基本情况表</w:t>
      </w:r>
    </w:p>
    <w:p w14:paraId="4AB4E78C">
      <w:pPr>
        <w:spacing w:line="240" w:lineRule="auto"/>
        <w:ind w:firstLine="0" w:firstLineChars="0"/>
        <w:rPr>
          <w:rFonts w:ascii="宋体" w:hAnsi="宋体" w:cs="方正仿宋_GBK"/>
        </w:rPr>
      </w:pPr>
      <w:r>
        <w:rPr>
          <w:rFonts w:hint="eastAsia" w:ascii="宋体" w:hAnsi="宋体" w:cs="方正仿宋_GBK"/>
        </w:rPr>
        <w:t>填表单位：（加盖单位公章）</w:t>
      </w:r>
      <w:r>
        <w:rPr>
          <w:rFonts w:hint="eastAsia" w:ascii="宋体" w:hAnsi="宋体" w:cs="方正仿宋_GBK"/>
        </w:rPr>
        <w:tab/>
      </w:r>
      <w:r>
        <w:rPr>
          <w:rFonts w:hint="eastAsia" w:ascii="宋体" w:hAnsi="宋体" w:cs="方正仿宋_GBK"/>
        </w:rPr>
        <w:tab/>
      </w:r>
      <w:r>
        <w:rPr>
          <w:rFonts w:hint="eastAsia" w:ascii="宋体" w:hAnsi="宋体" w:cs="方正仿宋_GBK"/>
        </w:rPr>
        <w:t xml:space="preserve">   填表日期：    年   月   日</w:t>
      </w:r>
    </w:p>
    <w:tbl>
      <w:tblPr>
        <w:tblStyle w:val="2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277"/>
        <w:gridCol w:w="1276"/>
        <w:gridCol w:w="791"/>
        <w:gridCol w:w="1200"/>
        <w:gridCol w:w="1500"/>
        <w:gridCol w:w="1485"/>
      </w:tblGrid>
      <w:tr w14:paraId="559F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6906A6D5">
            <w:pPr>
              <w:ind w:firstLine="0" w:firstLineChars="0"/>
              <w:jc w:val="center"/>
              <w:rPr>
                <w:rFonts w:ascii="宋体" w:hAnsi="宋体" w:cs="方正仿宋_GBK"/>
                <w:kern w:val="0"/>
                <w:szCs w:val="20"/>
              </w:rPr>
            </w:pPr>
            <w:r>
              <w:rPr>
                <w:rFonts w:hint="eastAsia" w:ascii="宋体" w:hAnsi="宋体" w:cs="方正仿宋_GBK"/>
                <w:kern w:val="0"/>
                <w:szCs w:val="20"/>
              </w:rPr>
              <w:t>采购人</w:t>
            </w:r>
          </w:p>
        </w:tc>
        <w:tc>
          <w:tcPr>
            <w:tcW w:w="2553" w:type="dxa"/>
            <w:gridSpan w:val="2"/>
            <w:vAlign w:val="center"/>
          </w:tcPr>
          <w:p w14:paraId="2CF15D51">
            <w:pPr>
              <w:ind w:firstLine="0" w:firstLineChars="0"/>
              <w:jc w:val="center"/>
              <w:rPr>
                <w:rFonts w:ascii="宋体" w:hAnsi="宋体" w:cs="方正仿宋_GBK"/>
                <w:kern w:val="0"/>
                <w:szCs w:val="20"/>
              </w:rPr>
            </w:pPr>
          </w:p>
        </w:tc>
        <w:tc>
          <w:tcPr>
            <w:tcW w:w="1991" w:type="dxa"/>
            <w:gridSpan w:val="2"/>
            <w:vAlign w:val="center"/>
          </w:tcPr>
          <w:p w14:paraId="460F8522">
            <w:pPr>
              <w:ind w:firstLine="0" w:firstLineChars="0"/>
              <w:jc w:val="center"/>
              <w:rPr>
                <w:rFonts w:ascii="宋体" w:hAnsi="宋体" w:cs="方正仿宋_GBK"/>
                <w:kern w:val="0"/>
                <w:szCs w:val="20"/>
              </w:rPr>
            </w:pPr>
            <w:r>
              <w:rPr>
                <w:rFonts w:hint="eastAsia" w:ascii="宋体" w:hAnsi="宋体" w:cs="方正仿宋_GBK"/>
                <w:kern w:val="0"/>
                <w:szCs w:val="20"/>
              </w:rPr>
              <w:t>项目名称</w:t>
            </w:r>
          </w:p>
        </w:tc>
        <w:tc>
          <w:tcPr>
            <w:tcW w:w="2985" w:type="dxa"/>
            <w:gridSpan w:val="2"/>
            <w:vAlign w:val="center"/>
          </w:tcPr>
          <w:p w14:paraId="4EDF486F">
            <w:pPr>
              <w:ind w:firstLine="0" w:firstLineChars="0"/>
              <w:jc w:val="center"/>
              <w:rPr>
                <w:rFonts w:ascii="宋体" w:hAnsi="宋体" w:cs="方正仿宋_GBK"/>
                <w:kern w:val="0"/>
                <w:szCs w:val="20"/>
              </w:rPr>
            </w:pPr>
          </w:p>
        </w:tc>
      </w:tr>
      <w:tr w14:paraId="48E4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4CB9F0A5">
            <w:pPr>
              <w:snapToGrid w:val="0"/>
              <w:ind w:firstLine="0" w:firstLineChars="0"/>
              <w:jc w:val="center"/>
              <w:rPr>
                <w:rFonts w:ascii="宋体" w:hAnsi="宋体" w:cs="方正仿宋_GBK"/>
                <w:kern w:val="0"/>
                <w:szCs w:val="20"/>
              </w:rPr>
            </w:pPr>
            <w:r>
              <w:rPr>
                <w:rFonts w:hint="eastAsia" w:ascii="宋体" w:hAnsi="宋体" w:cs="方正仿宋_GBK"/>
                <w:kern w:val="0"/>
                <w:szCs w:val="20"/>
              </w:rPr>
              <w:t>投标（响应）供应商</w:t>
            </w:r>
          </w:p>
        </w:tc>
        <w:tc>
          <w:tcPr>
            <w:tcW w:w="2553" w:type="dxa"/>
            <w:gridSpan w:val="2"/>
            <w:vAlign w:val="center"/>
          </w:tcPr>
          <w:p w14:paraId="4BBD89E2">
            <w:pPr>
              <w:ind w:firstLine="0" w:firstLineChars="0"/>
              <w:jc w:val="center"/>
              <w:rPr>
                <w:rFonts w:ascii="宋体" w:hAnsi="宋体" w:cs="方正仿宋_GBK"/>
                <w:kern w:val="0"/>
                <w:szCs w:val="20"/>
              </w:rPr>
            </w:pPr>
          </w:p>
        </w:tc>
        <w:tc>
          <w:tcPr>
            <w:tcW w:w="1991" w:type="dxa"/>
            <w:gridSpan w:val="2"/>
            <w:vAlign w:val="center"/>
          </w:tcPr>
          <w:p w14:paraId="1EEB6507">
            <w:pPr>
              <w:snapToGrid w:val="0"/>
              <w:ind w:firstLine="0" w:firstLineChars="0"/>
              <w:jc w:val="center"/>
              <w:rPr>
                <w:rFonts w:ascii="宋体" w:hAnsi="宋体" w:cs="方正仿宋_GBK"/>
                <w:kern w:val="0"/>
                <w:szCs w:val="20"/>
              </w:rPr>
            </w:pPr>
            <w:r>
              <w:rPr>
                <w:rFonts w:hint="eastAsia" w:ascii="宋体" w:hAnsi="宋体" w:cs="方正仿宋_GBK"/>
                <w:kern w:val="0"/>
                <w:szCs w:val="20"/>
              </w:rPr>
              <w:t>供应商统一社会信用代码</w:t>
            </w:r>
          </w:p>
        </w:tc>
        <w:tc>
          <w:tcPr>
            <w:tcW w:w="2985" w:type="dxa"/>
            <w:gridSpan w:val="2"/>
            <w:vAlign w:val="center"/>
          </w:tcPr>
          <w:p w14:paraId="43C3AB00">
            <w:pPr>
              <w:ind w:firstLine="0" w:firstLineChars="0"/>
              <w:jc w:val="center"/>
              <w:rPr>
                <w:rFonts w:ascii="宋体" w:hAnsi="宋体" w:cs="方正仿宋_GBK"/>
                <w:kern w:val="0"/>
                <w:szCs w:val="20"/>
              </w:rPr>
            </w:pPr>
          </w:p>
        </w:tc>
      </w:tr>
      <w:tr w14:paraId="6C63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574C4E1D">
            <w:pPr>
              <w:ind w:firstLine="0" w:firstLineChars="0"/>
              <w:jc w:val="center"/>
              <w:rPr>
                <w:rFonts w:ascii="宋体" w:hAnsi="宋体" w:cs="方正仿宋_GBK"/>
                <w:kern w:val="0"/>
                <w:szCs w:val="20"/>
              </w:rPr>
            </w:pPr>
            <w:r>
              <w:rPr>
                <w:rFonts w:hint="eastAsia" w:ascii="宋体" w:hAnsi="宋体" w:cs="方正仿宋_GBK"/>
                <w:b/>
                <w:bCs/>
                <w:kern w:val="0"/>
                <w:szCs w:val="20"/>
              </w:rPr>
              <w:t>投标（响应）供应商相关人员情况</w:t>
            </w:r>
          </w:p>
        </w:tc>
      </w:tr>
      <w:tr w14:paraId="0F1B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26FC465C">
            <w:pPr>
              <w:snapToGrid w:val="0"/>
              <w:ind w:firstLine="0" w:firstLineChars="0"/>
              <w:jc w:val="center"/>
              <w:rPr>
                <w:rFonts w:ascii="宋体" w:hAnsi="宋体" w:cs="方正仿宋_GBK"/>
                <w:kern w:val="0"/>
                <w:szCs w:val="20"/>
              </w:rPr>
            </w:pPr>
            <w:r>
              <w:rPr>
                <w:rFonts w:hint="eastAsia" w:ascii="宋体" w:hAnsi="宋体" w:cs="方正仿宋_GBK"/>
                <w:kern w:val="0"/>
                <w:szCs w:val="20"/>
              </w:rPr>
              <w:t>序号</w:t>
            </w:r>
          </w:p>
        </w:tc>
        <w:tc>
          <w:tcPr>
            <w:tcW w:w="1953" w:type="dxa"/>
            <w:gridSpan w:val="2"/>
            <w:tcBorders>
              <w:bottom w:val="single" w:color="auto" w:sz="4" w:space="0"/>
            </w:tcBorders>
            <w:vAlign w:val="center"/>
          </w:tcPr>
          <w:p w14:paraId="1B8D00B0">
            <w:pPr>
              <w:ind w:firstLine="0" w:firstLineChars="0"/>
              <w:jc w:val="center"/>
              <w:rPr>
                <w:rFonts w:ascii="宋体" w:hAnsi="宋体" w:cs="方正仿宋_GBK"/>
                <w:kern w:val="0"/>
                <w:szCs w:val="20"/>
              </w:rPr>
            </w:pPr>
            <w:r>
              <w:rPr>
                <w:rFonts w:hint="eastAsia" w:ascii="宋体" w:hAnsi="宋体" w:cs="方正仿宋_GBK"/>
                <w:kern w:val="0"/>
                <w:szCs w:val="20"/>
              </w:rPr>
              <w:t>职务</w:t>
            </w:r>
          </w:p>
        </w:tc>
        <w:tc>
          <w:tcPr>
            <w:tcW w:w="1276" w:type="dxa"/>
            <w:tcBorders>
              <w:bottom w:val="single" w:color="auto" w:sz="4" w:space="0"/>
            </w:tcBorders>
            <w:vAlign w:val="center"/>
          </w:tcPr>
          <w:p w14:paraId="625F7452">
            <w:pPr>
              <w:ind w:firstLine="0" w:firstLineChars="0"/>
              <w:jc w:val="center"/>
              <w:rPr>
                <w:rFonts w:ascii="宋体" w:hAnsi="宋体" w:cs="方正仿宋_GBK"/>
                <w:kern w:val="0"/>
                <w:szCs w:val="20"/>
              </w:rPr>
            </w:pPr>
            <w:r>
              <w:rPr>
                <w:rFonts w:hint="eastAsia" w:ascii="宋体" w:hAnsi="宋体" w:cs="方正仿宋_GBK"/>
                <w:kern w:val="0"/>
                <w:szCs w:val="20"/>
              </w:rPr>
              <w:t>姓名</w:t>
            </w:r>
          </w:p>
        </w:tc>
        <w:tc>
          <w:tcPr>
            <w:tcW w:w="1991" w:type="dxa"/>
            <w:gridSpan w:val="2"/>
            <w:tcBorders>
              <w:bottom w:val="single" w:color="auto" w:sz="4" w:space="0"/>
            </w:tcBorders>
            <w:vAlign w:val="center"/>
          </w:tcPr>
          <w:p w14:paraId="6301E3D5">
            <w:pPr>
              <w:ind w:firstLine="0" w:firstLineChars="0"/>
              <w:jc w:val="center"/>
              <w:rPr>
                <w:rFonts w:ascii="宋体" w:hAnsi="宋体" w:cs="方正仿宋_GBK"/>
                <w:kern w:val="0"/>
                <w:szCs w:val="20"/>
              </w:rPr>
            </w:pPr>
            <w:r>
              <w:rPr>
                <w:rFonts w:hint="eastAsia" w:ascii="宋体" w:hAnsi="宋体" w:cs="方正仿宋_GBK"/>
                <w:kern w:val="0"/>
                <w:szCs w:val="20"/>
              </w:rPr>
              <w:t>身份证号码</w:t>
            </w:r>
          </w:p>
        </w:tc>
        <w:tc>
          <w:tcPr>
            <w:tcW w:w="1500" w:type="dxa"/>
            <w:tcBorders>
              <w:bottom w:val="single" w:color="auto" w:sz="4" w:space="0"/>
            </w:tcBorders>
            <w:vAlign w:val="center"/>
          </w:tcPr>
          <w:p w14:paraId="0FE989EB">
            <w:pPr>
              <w:snapToGrid w:val="0"/>
              <w:ind w:firstLine="0" w:firstLineChars="0"/>
              <w:jc w:val="center"/>
              <w:rPr>
                <w:rFonts w:ascii="宋体" w:hAnsi="宋体" w:cs="方正仿宋_GBK"/>
                <w:kern w:val="0"/>
                <w:szCs w:val="20"/>
              </w:rPr>
            </w:pPr>
            <w:r>
              <w:rPr>
                <w:rFonts w:hint="eastAsia" w:ascii="宋体" w:hAnsi="宋体" w:cs="方正仿宋_GBK"/>
                <w:kern w:val="0"/>
                <w:szCs w:val="20"/>
              </w:rPr>
              <w:t>劳动合同</w:t>
            </w:r>
          </w:p>
          <w:p w14:paraId="4919BB8A">
            <w:pPr>
              <w:snapToGrid w:val="0"/>
              <w:ind w:firstLine="0" w:firstLineChars="0"/>
              <w:jc w:val="center"/>
              <w:rPr>
                <w:rFonts w:ascii="宋体" w:hAnsi="宋体" w:cs="方正仿宋_GBK"/>
                <w:kern w:val="0"/>
                <w:szCs w:val="20"/>
              </w:rPr>
            </w:pPr>
            <w:r>
              <w:rPr>
                <w:rFonts w:hint="eastAsia" w:ascii="宋体" w:hAnsi="宋体" w:cs="方正仿宋_GBK"/>
                <w:kern w:val="0"/>
                <w:szCs w:val="20"/>
              </w:rPr>
              <w:t>关系单位</w:t>
            </w:r>
          </w:p>
        </w:tc>
        <w:tc>
          <w:tcPr>
            <w:tcW w:w="1485" w:type="dxa"/>
            <w:tcBorders>
              <w:bottom w:val="single" w:color="auto" w:sz="4" w:space="0"/>
            </w:tcBorders>
            <w:vAlign w:val="center"/>
          </w:tcPr>
          <w:p w14:paraId="182850DE">
            <w:pPr>
              <w:snapToGrid w:val="0"/>
              <w:ind w:firstLine="0" w:firstLineChars="0"/>
              <w:jc w:val="center"/>
              <w:rPr>
                <w:rFonts w:ascii="宋体" w:hAnsi="宋体" w:cs="方正仿宋_GBK"/>
                <w:kern w:val="0"/>
                <w:szCs w:val="20"/>
              </w:rPr>
            </w:pPr>
            <w:r>
              <w:rPr>
                <w:rFonts w:hint="eastAsia" w:ascii="宋体" w:hAnsi="宋体" w:cs="方正仿宋_GBK"/>
                <w:kern w:val="0"/>
                <w:szCs w:val="20"/>
              </w:rPr>
              <w:t>缴纳社会</w:t>
            </w:r>
          </w:p>
          <w:p w14:paraId="02F4EDDC">
            <w:pPr>
              <w:snapToGrid w:val="0"/>
              <w:ind w:firstLine="0" w:firstLineChars="0"/>
              <w:jc w:val="center"/>
              <w:rPr>
                <w:rFonts w:ascii="宋体" w:hAnsi="宋体" w:cs="方正仿宋_GBK"/>
                <w:kern w:val="0"/>
                <w:szCs w:val="20"/>
              </w:rPr>
            </w:pPr>
            <w:r>
              <w:rPr>
                <w:rFonts w:hint="eastAsia" w:ascii="宋体" w:hAnsi="宋体" w:cs="方正仿宋_GBK"/>
                <w:kern w:val="0"/>
                <w:szCs w:val="20"/>
              </w:rPr>
              <w:t>保险单位</w:t>
            </w:r>
          </w:p>
        </w:tc>
      </w:tr>
      <w:tr w14:paraId="7182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322CEB9">
            <w:pPr>
              <w:ind w:firstLine="0" w:firstLineChars="0"/>
              <w:jc w:val="center"/>
              <w:rPr>
                <w:rFonts w:ascii="宋体" w:hAnsi="宋体" w:cs="方正仿宋_GBK"/>
                <w:kern w:val="0"/>
                <w:szCs w:val="20"/>
              </w:rPr>
            </w:pPr>
            <w:r>
              <w:rPr>
                <w:rFonts w:hint="eastAsia" w:ascii="宋体" w:hAnsi="宋体" w:cs="方正仿宋_GBK"/>
                <w:kern w:val="0"/>
                <w:szCs w:val="20"/>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261BC7D6">
            <w:pPr>
              <w:ind w:firstLine="0" w:firstLineChars="0"/>
              <w:jc w:val="center"/>
              <w:rPr>
                <w:rFonts w:ascii="宋体" w:hAnsi="宋体" w:cs="方正仿宋_GBK"/>
                <w:kern w:val="0"/>
                <w:szCs w:val="20"/>
              </w:rPr>
            </w:pPr>
            <w:r>
              <w:rPr>
                <w:rFonts w:hint="eastAsia" w:ascii="宋体" w:hAnsi="宋体" w:cs="方正仿宋_GBK"/>
                <w:kern w:val="0"/>
                <w:szCs w:val="20"/>
              </w:rPr>
              <w:t>法定代表人/单位负责人/主要经营负责人</w:t>
            </w:r>
          </w:p>
        </w:tc>
        <w:tc>
          <w:tcPr>
            <w:tcW w:w="1276" w:type="dxa"/>
            <w:tcBorders>
              <w:top w:val="single" w:color="auto" w:sz="4" w:space="0"/>
              <w:left w:val="single" w:color="auto" w:sz="4" w:space="0"/>
              <w:bottom w:val="single" w:color="auto" w:sz="4" w:space="0"/>
              <w:right w:val="single" w:color="auto" w:sz="4" w:space="0"/>
            </w:tcBorders>
            <w:vAlign w:val="center"/>
          </w:tcPr>
          <w:p w14:paraId="37C225C3">
            <w:pPr>
              <w:ind w:firstLine="0" w:firstLineChars="0"/>
              <w:jc w:val="center"/>
              <w:rPr>
                <w:rFonts w:ascii="宋体" w:hAnsi="宋体" w:cs="方正仿宋_GBK"/>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7164146E">
            <w:pPr>
              <w:ind w:firstLine="0" w:firstLineChars="0"/>
              <w:jc w:val="center"/>
              <w:rPr>
                <w:rFonts w:ascii="宋体" w:hAnsi="宋体" w:cs="方正仿宋_GBK"/>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1736BD0C">
            <w:pPr>
              <w:ind w:firstLine="0" w:firstLineChars="0"/>
              <w:jc w:val="center"/>
              <w:rPr>
                <w:rFonts w:ascii="宋体" w:hAnsi="宋体" w:cs="方正仿宋_GBK"/>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4298E6A8">
            <w:pPr>
              <w:ind w:firstLine="0" w:firstLineChars="0"/>
              <w:jc w:val="center"/>
              <w:rPr>
                <w:rFonts w:ascii="宋体" w:hAnsi="宋体" w:cs="方正仿宋_GBK"/>
                <w:kern w:val="0"/>
                <w:szCs w:val="20"/>
              </w:rPr>
            </w:pPr>
          </w:p>
        </w:tc>
      </w:tr>
      <w:tr w14:paraId="0C78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7492DECA">
            <w:pPr>
              <w:ind w:firstLine="0" w:firstLineChars="0"/>
              <w:jc w:val="center"/>
              <w:rPr>
                <w:rFonts w:ascii="宋体" w:hAnsi="宋体" w:cs="方正仿宋_GBK"/>
                <w:kern w:val="0"/>
                <w:szCs w:val="20"/>
              </w:rPr>
            </w:pPr>
            <w:r>
              <w:rPr>
                <w:rFonts w:hint="eastAsia" w:ascii="宋体" w:hAnsi="宋体" w:cs="方正仿宋_GBK"/>
                <w:kern w:val="0"/>
                <w:szCs w:val="20"/>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55C2010D">
            <w:pPr>
              <w:ind w:firstLine="0" w:firstLineChars="0"/>
              <w:jc w:val="center"/>
              <w:rPr>
                <w:rFonts w:ascii="宋体" w:hAnsi="宋体" w:cs="方正仿宋_GBK"/>
                <w:kern w:val="0"/>
                <w:szCs w:val="20"/>
              </w:rPr>
            </w:pPr>
            <w:r>
              <w:rPr>
                <w:rFonts w:hint="eastAsia" w:ascii="宋体" w:hAnsi="宋体" w:cs="方正仿宋_GBK"/>
                <w:kern w:val="0"/>
                <w:szCs w:val="20"/>
              </w:rPr>
              <w:t>项目投标授权代表人</w:t>
            </w:r>
          </w:p>
        </w:tc>
        <w:tc>
          <w:tcPr>
            <w:tcW w:w="1276" w:type="dxa"/>
            <w:tcBorders>
              <w:top w:val="single" w:color="auto" w:sz="4" w:space="0"/>
              <w:left w:val="single" w:color="auto" w:sz="4" w:space="0"/>
              <w:bottom w:val="single" w:color="auto" w:sz="4" w:space="0"/>
              <w:right w:val="single" w:color="auto" w:sz="4" w:space="0"/>
            </w:tcBorders>
            <w:vAlign w:val="center"/>
          </w:tcPr>
          <w:p w14:paraId="4EF59625">
            <w:pPr>
              <w:ind w:firstLine="0" w:firstLineChars="0"/>
              <w:jc w:val="center"/>
              <w:rPr>
                <w:rFonts w:ascii="宋体" w:hAnsi="宋体" w:cs="方正仿宋_GBK"/>
                <w:kern w:val="0"/>
                <w:szCs w:val="20"/>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8ED1800">
            <w:pPr>
              <w:ind w:firstLine="0" w:firstLineChars="0"/>
              <w:jc w:val="center"/>
              <w:rPr>
                <w:rFonts w:ascii="宋体" w:hAnsi="宋体" w:cs="方正仿宋_GBK"/>
                <w:kern w:val="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14:paraId="5B317DA8">
            <w:pPr>
              <w:ind w:firstLine="0" w:firstLineChars="0"/>
              <w:jc w:val="center"/>
              <w:rPr>
                <w:rFonts w:ascii="宋体" w:hAnsi="宋体" w:cs="方正仿宋_GBK"/>
                <w:kern w:val="0"/>
                <w:szCs w:val="20"/>
              </w:rPr>
            </w:pPr>
          </w:p>
        </w:tc>
        <w:tc>
          <w:tcPr>
            <w:tcW w:w="1485" w:type="dxa"/>
            <w:tcBorders>
              <w:top w:val="single" w:color="auto" w:sz="4" w:space="0"/>
              <w:left w:val="single" w:color="auto" w:sz="4" w:space="0"/>
              <w:bottom w:val="single" w:color="auto" w:sz="4" w:space="0"/>
              <w:right w:val="single" w:color="auto" w:sz="4" w:space="0"/>
            </w:tcBorders>
            <w:vAlign w:val="center"/>
          </w:tcPr>
          <w:p w14:paraId="5902463D">
            <w:pPr>
              <w:ind w:firstLine="0" w:firstLineChars="0"/>
              <w:jc w:val="center"/>
              <w:rPr>
                <w:rFonts w:ascii="宋体" w:hAnsi="宋体" w:cs="方正仿宋_GBK"/>
                <w:kern w:val="0"/>
                <w:szCs w:val="20"/>
              </w:rPr>
            </w:pPr>
          </w:p>
        </w:tc>
      </w:tr>
      <w:tr w14:paraId="53BF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019A8235">
            <w:pPr>
              <w:ind w:firstLine="0" w:firstLineChars="0"/>
              <w:jc w:val="center"/>
              <w:rPr>
                <w:rFonts w:ascii="宋体" w:hAnsi="宋体" w:cs="方正仿宋_GBK"/>
                <w:kern w:val="0"/>
                <w:szCs w:val="20"/>
              </w:rPr>
            </w:pPr>
            <w:r>
              <w:rPr>
                <w:rFonts w:hint="eastAsia" w:ascii="宋体" w:hAnsi="宋体" w:cs="方正仿宋_GBK"/>
                <w:kern w:val="0"/>
                <w:szCs w:val="20"/>
                <w:lang w:bidi="ar"/>
              </w:rPr>
              <w:t>3</w:t>
            </w:r>
          </w:p>
        </w:tc>
        <w:tc>
          <w:tcPr>
            <w:tcW w:w="1953" w:type="dxa"/>
            <w:gridSpan w:val="2"/>
            <w:tcBorders>
              <w:top w:val="single" w:color="auto" w:sz="4" w:space="0"/>
            </w:tcBorders>
            <w:vAlign w:val="center"/>
          </w:tcPr>
          <w:p w14:paraId="3102DFA5">
            <w:pPr>
              <w:ind w:firstLine="0" w:firstLineChars="0"/>
              <w:jc w:val="center"/>
              <w:rPr>
                <w:rFonts w:ascii="宋体" w:hAnsi="宋体" w:cs="方正仿宋_GBK"/>
                <w:kern w:val="0"/>
                <w:szCs w:val="20"/>
              </w:rPr>
            </w:pPr>
            <w:r>
              <w:rPr>
                <w:rFonts w:hint="eastAsia" w:ascii="宋体" w:hAnsi="宋体" w:cs="方正仿宋_GBK"/>
                <w:kern w:val="0"/>
                <w:szCs w:val="20"/>
              </w:rPr>
              <w:t>项目负责人</w:t>
            </w:r>
          </w:p>
        </w:tc>
        <w:tc>
          <w:tcPr>
            <w:tcW w:w="1276" w:type="dxa"/>
            <w:tcBorders>
              <w:top w:val="single" w:color="auto" w:sz="4" w:space="0"/>
            </w:tcBorders>
            <w:vAlign w:val="center"/>
          </w:tcPr>
          <w:p w14:paraId="51EA43CB">
            <w:pPr>
              <w:ind w:firstLine="0" w:firstLineChars="0"/>
              <w:jc w:val="center"/>
              <w:rPr>
                <w:rFonts w:ascii="宋体" w:hAnsi="宋体" w:cs="方正仿宋_GBK"/>
                <w:kern w:val="0"/>
                <w:szCs w:val="20"/>
              </w:rPr>
            </w:pPr>
          </w:p>
        </w:tc>
        <w:tc>
          <w:tcPr>
            <w:tcW w:w="1991" w:type="dxa"/>
            <w:gridSpan w:val="2"/>
            <w:tcBorders>
              <w:top w:val="single" w:color="auto" w:sz="4" w:space="0"/>
            </w:tcBorders>
            <w:vAlign w:val="center"/>
          </w:tcPr>
          <w:p w14:paraId="0E24C736">
            <w:pPr>
              <w:ind w:firstLine="0" w:firstLineChars="0"/>
              <w:jc w:val="center"/>
              <w:rPr>
                <w:rFonts w:ascii="宋体" w:hAnsi="宋体" w:cs="方正仿宋_GBK"/>
                <w:kern w:val="0"/>
                <w:szCs w:val="20"/>
              </w:rPr>
            </w:pPr>
          </w:p>
        </w:tc>
        <w:tc>
          <w:tcPr>
            <w:tcW w:w="1500" w:type="dxa"/>
            <w:tcBorders>
              <w:top w:val="single" w:color="auto" w:sz="4" w:space="0"/>
            </w:tcBorders>
            <w:vAlign w:val="center"/>
          </w:tcPr>
          <w:p w14:paraId="19A468CB">
            <w:pPr>
              <w:ind w:firstLine="0" w:firstLineChars="0"/>
              <w:jc w:val="center"/>
              <w:rPr>
                <w:rFonts w:ascii="宋体" w:hAnsi="宋体" w:cs="方正仿宋_GBK"/>
                <w:kern w:val="0"/>
                <w:szCs w:val="20"/>
              </w:rPr>
            </w:pPr>
          </w:p>
        </w:tc>
        <w:tc>
          <w:tcPr>
            <w:tcW w:w="1485" w:type="dxa"/>
            <w:tcBorders>
              <w:top w:val="single" w:color="auto" w:sz="4" w:space="0"/>
            </w:tcBorders>
            <w:vAlign w:val="center"/>
          </w:tcPr>
          <w:p w14:paraId="11A5924A">
            <w:pPr>
              <w:ind w:firstLine="0" w:firstLineChars="0"/>
              <w:jc w:val="center"/>
              <w:rPr>
                <w:rFonts w:ascii="宋体" w:hAnsi="宋体" w:cs="方正仿宋_GBK"/>
                <w:kern w:val="0"/>
                <w:szCs w:val="20"/>
              </w:rPr>
            </w:pPr>
          </w:p>
        </w:tc>
      </w:tr>
      <w:tr w14:paraId="3ED2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18B3F43A">
            <w:pPr>
              <w:ind w:firstLine="0" w:firstLineChars="0"/>
              <w:jc w:val="center"/>
              <w:rPr>
                <w:rFonts w:ascii="宋体" w:hAnsi="宋体" w:cs="方正仿宋_GBK"/>
                <w:kern w:val="0"/>
                <w:szCs w:val="20"/>
              </w:rPr>
            </w:pPr>
            <w:r>
              <w:rPr>
                <w:rFonts w:hint="eastAsia" w:ascii="宋体" w:hAnsi="宋体" w:cs="方正仿宋_GBK"/>
                <w:kern w:val="0"/>
                <w:szCs w:val="20"/>
                <w:lang w:bidi="ar"/>
              </w:rPr>
              <w:t>4</w:t>
            </w:r>
          </w:p>
        </w:tc>
        <w:tc>
          <w:tcPr>
            <w:tcW w:w="1953" w:type="dxa"/>
            <w:gridSpan w:val="2"/>
            <w:vAlign w:val="center"/>
          </w:tcPr>
          <w:p w14:paraId="22DB4AAE">
            <w:pPr>
              <w:ind w:firstLine="0" w:firstLineChars="0"/>
              <w:jc w:val="center"/>
              <w:rPr>
                <w:rFonts w:ascii="宋体" w:hAnsi="宋体" w:cs="方正仿宋_GBK"/>
                <w:kern w:val="0"/>
                <w:szCs w:val="20"/>
              </w:rPr>
            </w:pPr>
            <w:r>
              <w:rPr>
                <w:rFonts w:hint="eastAsia" w:ascii="宋体" w:hAnsi="宋体" w:cs="方正仿宋_GBK"/>
                <w:kern w:val="0"/>
                <w:szCs w:val="20"/>
              </w:rPr>
              <w:t>主要技术人员</w:t>
            </w:r>
          </w:p>
        </w:tc>
        <w:tc>
          <w:tcPr>
            <w:tcW w:w="1276" w:type="dxa"/>
            <w:vAlign w:val="center"/>
          </w:tcPr>
          <w:p w14:paraId="4BEDA200">
            <w:pPr>
              <w:ind w:firstLine="0" w:firstLineChars="0"/>
              <w:jc w:val="center"/>
              <w:rPr>
                <w:rFonts w:ascii="宋体" w:hAnsi="宋体" w:cs="方正仿宋_GBK"/>
                <w:kern w:val="0"/>
                <w:szCs w:val="20"/>
              </w:rPr>
            </w:pPr>
          </w:p>
        </w:tc>
        <w:tc>
          <w:tcPr>
            <w:tcW w:w="1991" w:type="dxa"/>
            <w:gridSpan w:val="2"/>
            <w:vAlign w:val="center"/>
          </w:tcPr>
          <w:p w14:paraId="0808CE0E">
            <w:pPr>
              <w:ind w:firstLine="0" w:firstLineChars="0"/>
              <w:jc w:val="center"/>
              <w:rPr>
                <w:rFonts w:ascii="宋体" w:hAnsi="宋体" w:cs="方正仿宋_GBK"/>
                <w:kern w:val="0"/>
                <w:szCs w:val="20"/>
              </w:rPr>
            </w:pPr>
          </w:p>
        </w:tc>
        <w:tc>
          <w:tcPr>
            <w:tcW w:w="1500" w:type="dxa"/>
            <w:vAlign w:val="center"/>
          </w:tcPr>
          <w:p w14:paraId="1983D88B">
            <w:pPr>
              <w:ind w:firstLine="0" w:firstLineChars="0"/>
              <w:jc w:val="center"/>
              <w:rPr>
                <w:rFonts w:ascii="宋体" w:hAnsi="宋体" w:cs="方正仿宋_GBK"/>
                <w:kern w:val="0"/>
                <w:szCs w:val="20"/>
              </w:rPr>
            </w:pPr>
          </w:p>
        </w:tc>
        <w:tc>
          <w:tcPr>
            <w:tcW w:w="1485" w:type="dxa"/>
            <w:vAlign w:val="center"/>
          </w:tcPr>
          <w:p w14:paraId="42F95348">
            <w:pPr>
              <w:ind w:firstLine="0" w:firstLineChars="0"/>
              <w:jc w:val="center"/>
              <w:rPr>
                <w:rFonts w:ascii="宋体" w:hAnsi="宋体" w:cs="方正仿宋_GBK"/>
                <w:kern w:val="0"/>
                <w:szCs w:val="20"/>
              </w:rPr>
            </w:pPr>
          </w:p>
        </w:tc>
      </w:tr>
      <w:tr w14:paraId="2C69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5007223D">
            <w:pPr>
              <w:ind w:firstLine="0" w:firstLineChars="0"/>
              <w:jc w:val="center"/>
              <w:rPr>
                <w:rFonts w:ascii="宋体" w:hAnsi="宋体" w:cs="方正仿宋_GBK"/>
                <w:kern w:val="0"/>
                <w:szCs w:val="20"/>
              </w:rPr>
            </w:pPr>
            <w:r>
              <w:rPr>
                <w:rFonts w:hint="eastAsia" w:ascii="宋体" w:hAnsi="宋体" w:cs="方正仿宋_GBK"/>
                <w:kern w:val="0"/>
                <w:szCs w:val="20"/>
                <w:lang w:bidi="ar"/>
              </w:rPr>
              <w:t>5</w:t>
            </w:r>
          </w:p>
        </w:tc>
        <w:tc>
          <w:tcPr>
            <w:tcW w:w="1953" w:type="dxa"/>
            <w:gridSpan w:val="2"/>
            <w:vAlign w:val="center"/>
          </w:tcPr>
          <w:p w14:paraId="153B6B44">
            <w:pPr>
              <w:snapToGrid w:val="0"/>
              <w:ind w:firstLine="0" w:firstLineChars="0"/>
              <w:jc w:val="center"/>
              <w:rPr>
                <w:rFonts w:ascii="宋体" w:hAnsi="宋体" w:cs="方正仿宋_GBK"/>
                <w:kern w:val="0"/>
                <w:szCs w:val="20"/>
              </w:rPr>
            </w:pPr>
            <w:r>
              <w:rPr>
                <w:rFonts w:hint="eastAsia" w:ascii="宋体" w:hAnsi="宋体" w:cs="方正仿宋_GBK"/>
                <w:kern w:val="0"/>
                <w:szCs w:val="20"/>
              </w:rPr>
              <w:t>投标文件编制人员</w:t>
            </w:r>
          </w:p>
        </w:tc>
        <w:tc>
          <w:tcPr>
            <w:tcW w:w="1276" w:type="dxa"/>
            <w:vAlign w:val="center"/>
          </w:tcPr>
          <w:p w14:paraId="7E474FFB">
            <w:pPr>
              <w:ind w:firstLine="0" w:firstLineChars="0"/>
              <w:jc w:val="center"/>
              <w:rPr>
                <w:rFonts w:ascii="宋体" w:hAnsi="宋体" w:cs="方正仿宋_GBK"/>
                <w:kern w:val="0"/>
                <w:szCs w:val="20"/>
              </w:rPr>
            </w:pPr>
          </w:p>
        </w:tc>
        <w:tc>
          <w:tcPr>
            <w:tcW w:w="1991" w:type="dxa"/>
            <w:gridSpan w:val="2"/>
            <w:vAlign w:val="center"/>
          </w:tcPr>
          <w:p w14:paraId="576CDEDC">
            <w:pPr>
              <w:ind w:firstLine="0" w:firstLineChars="0"/>
              <w:jc w:val="center"/>
              <w:rPr>
                <w:rFonts w:ascii="宋体" w:hAnsi="宋体" w:cs="方正仿宋_GBK"/>
                <w:kern w:val="0"/>
                <w:szCs w:val="20"/>
              </w:rPr>
            </w:pPr>
          </w:p>
        </w:tc>
        <w:tc>
          <w:tcPr>
            <w:tcW w:w="1500" w:type="dxa"/>
            <w:vAlign w:val="center"/>
          </w:tcPr>
          <w:p w14:paraId="56F55893">
            <w:pPr>
              <w:ind w:firstLine="0" w:firstLineChars="0"/>
              <w:jc w:val="center"/>
              <w:rPr>
                <w:rFonts w:ascii="宋体" w:hAnsi="宋体" w:cs="方正仿宋_GBK"/>
                <w:kern w:val="0"/>
                <w:szCs w:val="20"/>
              </w:rPr>
            </w:pPr>
          </w:p>
        </w:tc>
        <w:tc>
          <w:tcPr>
            <w:tcW w:w="1485" w:type="dxa"/>
            <w:vAlign w:val="center"/>
          </w:tcPr>
          <w:p w14:paraId="1FDBD6C2">
            <w:pPr>
              <w:ind w:firstLine="0" w:firstLineChars="0"/>
              <w:jc w:val="center"/>
              <w:rPr>
                <w:rFonts w:ascii="宋体" w:hAnsi="宋体" w:cs="方正仿宋_GBK"/>
                <w:kern w:val="0"/>
                <w:szCs w:val="20"/>
              </w:rPr>
            </w:pPr>
          </w:p>
        </w:tc>
      </w:tr>
      <w:tr w14:paraId="5C2A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421DABE0">
            <w:pPr>
              <w:ind w:firstLine="0" w:firstLineChars="0"/>
              <w:jc w:val="left"/>
              <w:rPr>
                <w:rFonts w:ascii="宋体" w:hAnsi="宋体" w:cs="方正仿宋_GBK"/>
                <w:kern w:val="0"/>
                <w:szCs w:val="20"/>
              </w:rPr>
            </w:pPr>
            <w:r>
              <w:rPr>
                <w:rFonts w:hint="eastAsia" w:ascii="宋体" w:hAnsi="宋体" w:cs="方正仿宋_GBK"/>
                <w:b/>
                <w:bCs/>
                <w:kern w:val="0"/>
                <w:szCs w:val="20"/>
              </w:rPr>
              <w:t>说明：同一职务有多人担任（如主要技术人员），应分行填写。</w:t>
            </w:r>
          </w:p>
        </w:tc>
      </w:tr>
      <w:tr w14:paraId="7C29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4CB7C20C">
            <w:pPr>
              <w:ind w:firstLine="0" w:firstLineChars="0"/>
              <w:jc w:val="center"/>
              <w:rPr>
                <w:rFonts w:ascii="宋体" w:hAnsi="宋体" w:cs="方正仿宋_GBK"/>
                <w:b/>
                <w:bCs/>
                <w:kern w:val="0"/>
                <w:szCs w:val="20"/>
              </w:rPr>
            </w:pPr>
            <w:r>
              <w:rPr>
                <w:rFonts w:hint="eastAsia" w:ascii="宋体" w:hAnsi="宋体" w:cs="方正仿宋_GBK"/>
                <w:b/>
                <w:bCs/>
                <w:kern w:val="0"/>
                <w:szCs w:val="20"/>
              </w:rPr>
              <w:t>投标（响应）供应商关联关系情况</w:t>
            </w:r>
          </w:p>
        </w:tc>
      </w:tr>
      <w:tr w14:paraId="79181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128226DF">
            <w:pPr>
              <w:ind w:firstLine="0" w:firstLineChars="0"/>
              <w:jc w:val="center"/>
              <w:rPr>
                <w:rFonts w:ascii="宋体" w:hAnsi="宋体" w:cs="方正仿宋_GBK"/>
                <w:b/>
                <w:bCs/>
                <w:kern w:val="0"/>
                <w:szCs w:val="20"/>
                <w:lang w:bidi="ar"/>
              </w:rPr>
            </w:pPr>
            <w:r>
              <w:rPr>
                <w:rFonts w:hint="eastAsia" w:ascii="宋体" w:hAnsi="宋体" w:cs="方正仿宋_GBK"/>
                <w:b/>
                <w:bCs/>
                <w:kern w:val="0"/>
                <w:szCs w:val="20"/>
                <w:lang w:bidi="ar"/>
              </w:rPr>
              <w:t>序号</w:t>
            </w:r>
          </w:p>
        </w:tc>
        <w:tc>
          <w:tcPr>
            <w:tcW w:w="1953" w:type="dxa"/>
            <w:gridSpan w:val="2"/>
            <w:tcBorders>
              <w:bottom w:val="single" w:color="auto" w:sz="4" w:space="0"/>
            </w:tcBorders>
            <w:vAlign w:val="center"/>
          </w:tcPr>
          <w:p w14:paraId="42ADF930">
            <w:pPr>
              <w:ind w:firstLine="0" w:firstLineChars="0"/>
              <w:jc w:val="center"/>
              <w:rPr>
                <w:rFonts w:ascii="宋体" w:hAnsi="宋体" w:cs="方正仿宋_GBK"/>
                <w:b/>
                <w:bCs/>
                <w:kern w:val="0"/>
                <w:szCs w:val="20"/>
              </w:rPr>
            </w:pPr>
            <w:r>
              <w:rPr>
                <w:rFonts w:hint="eastAsia" w:ascii="宋体" w:hAnsi="宋体" w:cs="方正仿宋_GBK"/>
                <w:b/>
                <w:bCs/>
                <w:kern w:val="0"/>
                <w:szCs w:val="20"/>
              </w:rPr>
              <w:t>关联关系类型</w:t>
            </w:r>
          </w:p>
        </w:tc>
        <w:tc>
          <w:tcPr>
            <w:tcW w:w="2067" w:type="dxa"/>
            <w:gridSpan w:val="2"/>
            <w:tcBorders>
              <w:bottom w:val="single" w:color="auto" w:sz="4" w:space="0"/>
            </w:tcBorders>
            <w:vAlign w:val="center"/>
          </w:tcPr>
          <w:p w14:paraId="4A8A866F">
            <w:pPr>
              <w:ind w:firstLine="0" w:firstLineChars="0"/>
              <w:jc w:val="center"/>
              <w:rPr>
                <w:rFonts w:ascii="宋体" w:hAnsi="宋体" w:cs="方正仿宋_GBK"/>
                <w:b/>
                <w:bCs/>
                <w:kern w:val="0"/>
                <w:szCs w:val="20"/>
              </w:rPr>
            </w:pPr>
            <w:r>
              <w:rPr>
                <w:rFonts w:hint="eastAsia" w:ascii="宋体" w:hAnsi="宋体" w:cs="方正仿宋_GBK"/>
                <w:b/>
                <w:bCs/>
                <w:kern w:val="0"/>
                <w:szCs w:val="20"/>
              </w:rPr>
              <w:t>关联主体名称</w:t>
            </w:r>
          </w:p>
        </w:tc>
        <w:tc>
          <w:tcPr>
            <w:tcW w:w="4185" w:type="dxa"/>
            <w:gridSpan w:val="3"/>
            <w:tcBorders>
              <w:bottom w:val="single" w:color="auto" w:sz="4" w:space="0"/>
            </w:tcBorders>
            <w:vAlign w:val="center"/>
          </w:tcPr>
          <w:p w14:paraId="04B29FA6">
            <w:pPr>
              <w:ind w:firstLine="0" w:firstLineChars="0"/>
              <w:jc w:val="center"/>
              <w:rPr>
                <w:rFonts w:ascii="宋体" w:hAnsi="宋体" w:cs="方正仿宋_GBK"/>
                <w:b/>
                <w:bCs/>
                <w:kern w:val="0"/>
                <w:szCs w:val="20"/>
              </w:rPr>
            </w:pPr>
            <w:r>
              <w:rPr>
                <w:rFonts w:hint="eastAsia" w:ascii="宋体" w:hAnsi="宋体" w:cs="方正仿宋_GBK"/>
                <w:b/>
                <w:bCs/>
                <w:kern w:val="0"/>
                <w:szCs w:val="20"/>
              </w:rPr>
              <w:t>备注</w:t>
            </w:r>
          </w:p>
        </w:tc>
      </w:tr>
      <w:tr w14:paraId="4564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C27504F">
            <w:pPr>
              <w:ind w:firstLine="0" w:firstLineChars="0"/>
              <w:jc w:val="center"/>
              <w:rPr>
                <w:rFonts w:ascii="宋体" w:hAnsi="宋体" w:cs="方正仿宋_GBK"/>
                <w:kern w:val="0"/>
                <w:szCs w:val="20"/>
                <w:lang w:bidi="ar"/>
              </w:rPr>
            </w:pPr>
            <w:r>
              <w:rPr>
                <w:rFonts w:hint="eastAsia" w:ascii="宋体" w:hAnsi="宋体" w:cs="方正仿宋_GBK"/>
                <w:kern w:val="0"/>
                <w:szCs w:val="20"/>
                <w:lang w:bidi="ar"/>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6EFA1535">
            <w:pPr>
              <w:ind w:firstLine="0" w:firstLineChars="0"/>
              <w:jc w:val="center"/>
              <w:rPr>
                <w:rFonts w:ascii="宋体" w:hAnsi="宋体" w:cs="方正仿宋_GBK"/>
                <w:kern w:val="0"/>
                <w:szCs w:val="20"/>
              </w:rPr>
            </w:pPr>
            <w:r>
              <w:rPr>
                <w:rFonts w:hint="eastAsia" w:ascii="宋体" w:hAnsi="宋体" w:cs="方正仿宋_GBK"/>
                <w:kern w:val="0"/>
                <w:szCs w:val="20"/>
              </w:rPr>
              <w:t>控股股东</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6C6A8AC7">
            <w:pPr>
              <w:ind w:firstLine="0" w:firstLineChars="0"/>
              <w:jc w:val="center"/>
              <w:rPr>
                <w:rFonts w:ascii="宋体" w:hAnsi="宋体" w:cs="方正仿宋_GBK"/>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468D4AF">
            <w:pPr>
              <w:snapToGrid w:val="0"/>
              <w:ind w:firstLine="0" w:firstLineChars="0"/>
              <w:jc w:val="left"/>
              <w:rPr>
                <w:rFonts w:ascii="宋体" w:hAnsi="宋体" w:cs="方正仿宋_GBK"/>
                <w:kern w:val="0"/>
                <w:szCs w:val="20"/>
              </w:rPr>
            </w:pPr>
            <w:r>
              <w:rPr>
                <w:rFonts w:hint="eastAsia" w:ascii="宋体" w:hAnsi="宋体" w:cs="方正仿宋_GBK"/>
                <w:kern w:val="0"/>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FD7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AC6405B">
            <w:pPr>
              <w:ind w:firstLine="0" w:firstLineChars="0"/>
              <w:jc w:val="center"/>
              <w:rPr>
                <w:rFonts w:ascii="宋体" w:hAnsi="宋体" w:cs="方正仿宋_GBK"/>
                <w:kern w:val="0"/>
                <w:szCs w:val="20"/>
                <w:lang w:bidi="ar"/>
              </w:rPr>
            </w:pPr>
            <w:r>
              <w:rPr>
                <w:rFonts w:hint="eastAsia" w:ascii="宋体" w:hAnsi="宋体" w:cs="方正仿宋_GBK"/>
                <w:kern w:val="0"/>
                <w:szCs w:val="20"/>
                <w:lang w:bidi="ar"/>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47CF9B27">
            <w:pPr>
              <w:ind w:firstLine="0" w:firstLineChars="0"/>
              <w:jc w:val="center"/>
              <w:rPr>
                <w:rFonts w:ascii="宋体" w:hAnsi="宋体" w:cs="方正仿宋_GBK"/>
                <w:kern w:val="0"/>
                <w:szCs w:val="20"/>
              </w:rPr>
            </w:pPr>
            <w:r>
              <w:rPr>
                <w:rFonts w:hint="eastAsia" w:ascii="宋体" w:hAnsi="宋体" w:cs="方正仿宋_GBK"/>
                <w:kern w:val="0"/>
                <w:szCs w:val="20"/>
              </w:rPr>
              <w:t>管理关系</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056C6F3F">
            <w:pPr>
              <w:ind w:firstLine="0" w:firstLineChars="0"/>
              <w:jc w:val="center"/>
              <w:rPr>
                <w:rFonts w:ascii="宋体" w:hAnsi="宋体" w:cs="方正仿宋_GBK"/>
                <w:kern w:val="0"/>
                <w:szCs w:val="20"/>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4809F365">
            <w:pPr>
              <w:snapToGrid w:val="0"/>
              <w:ind w:firstLine="0" w:firstLineChars="0"/>
              <w:jc w:val="left"/>
              <w:rPr>
                <w:rFonts w:ascii="宋体" w:hAnsi="宋体" w:cs="方正仿宋_GBK"/>
                <w:kern w:val="0"/>
                <w:szCs w:val="20"/>
              </w:rPr>
            </w:pPr>
            <w:r>
              <w:rPr>
                <w:rFonts w:hint="eastAsia" w:ascii="宋体" w:hAnsi="宋体" w:cs="方正仿宋_GBK"/>
                <w:kern w:val="0"/>
                <w:sz w:val="18"/>
                <w:szCs w:val="18"/>
              </w:rPr>
              <w:t>指对投标（响应）供应商不具有出资持股关系，但对其存在管理关系的主体。</w:t>
            </w:r>
          </w:p>
        </w:tc>
      </w:tr>
    </w:tbl>
    <w:p w14:paraId="28BB997C">
      <w:pPr>
        <w:ind w:firstLine="0" w:firstLineChars="0"/>
        <w:rPr>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10FE42-E3EC-4466-ADA1-FAE01970DB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75C31B3-3CCD-48F7-9842-065E420AB956}"/>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embedRegular r:id="rId3" w:fontKey="{F4542983-9A0C-4826-9C0C-82E2433FA822}"/>
  </w:font>
  <w:font w:name="仿宋">
    <w:panose1 w:val="02010609060101010101"/>
    <w:charset w:val="86"/>
    <w:family w:val="modern"/>
    <w:pitch w:val="default"/>
    <w:sig w:usb0="800002BF" w:usb1="38CF7CFA" w:usb2="00000016" w:usb3="00000000" w:csb0="00040001" w:csb1="00000000"/>
    <w:embedRegular r:id="rId4" w:fontKey="{356C4402-6478-43E6-83F8-1F9B569515D8}"/>
  </w:font>
  <w:font w:name="方正小标宋简体">
    <w:altName w:val="方正舒体"/>
    <w:panose1 w:val="00000000000000000000"/>
    <w:charset w:val="86"/>
    <w:family w:val="auto"/>
    <w:pitch w:val="default"/>
    <w:sig w:usb0="00000000" w:usb1="00000000" w:usb2="00000000" w:usb3="00000000" w:csb0="00040000" w:csb1="00000000"/>
    <w:embedRegular r:id="rId5" w:fontKey="{CA79B457-AC54-43FF-8E36-62C8F969D81A}"/>
  </w:font>
  <w:font w:name="方正舒体">
    <w:panose1 w:val="02010601030101010101"/>
    <w:charset w:val="86"/>
    <w:family w:val="auto"/>
    <w:pitch w:val="default"/>
    <w:sig w:usb0="00000003"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6" w:fontKey="{FC0E1677-A372-4BCE-92E6-1B71B8C16A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BEC78">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25D45">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74C57">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0CA3">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51212">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5CAE">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3"/>
  <w:drawingGridVerticalSpacing w:val="60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ZmFkZmQzOWRkNzdkMjhkZTk3ZjU3ODEwNjE5NmMifQ=="/>
  </w:docVars>
  <w:rsids>
    <w:rsidRoot w:val="001D3CFC"/>
    <w:rsid w:val="000268A0"/>
    <w:rsid w:val="00077F6B"/>
    <w:rsid w:val="00147210"/>
    <w:rsid w:val="00152AC5"/>
    <w:rsid w:val="001858E8"/>
    <w:rsid w:val="001A5E49"/>
    <w:rsid w:val="001D3CFC"/>
    <w:rsid w:val="00203DE4"/>
    <w:rsid w:val="002756A7"/>
    <w:rsid w:val="002F57F5"/>
    <w:rsid w:val="003A7C85"/>
    <w:rsid w:val="0040464B"/>
    <w:rsid w:val="00452857"/>
    <w:rsid w:val="00470334"/>
    <w:rsid w:val="00567F4A"/>
    <w:rsid w:val="006853F8"/>
    <w:rsid w:val="006D796C"/>
    <w:rsid w:val="006E01C0"/>
    <w:rsid w:val="007224B7"/>
    <w:rsid w:val="00746FDE"/>
    <w:rsid w:val="007E4A29"/>
    <w:rsid w:val="007F35AB"/>
    <w:rsid w:val="009444ED"/>
    <w:rsid w:val="00971179"/>
    <w:rsid w:val="009C6A70"/>
    <w:rsid w:val="00A208CC"/>
    <w:rsid w:val="00A81F1B"/>
    <w:rsid w:val="00AE5A0E"/>
    <w:rsid w:val="00B60DC8"/>
    <w:rsid w:val="00BB0E52"/>
    <w:rsid w:val="00C10DD5"/>
    <w:rsid w:val="00C14087"/>
    <w:rsid w:val="00C1796A"/>
    <w:rsid w:val="00CD0375"/>
    <w:rsid w:val="00D90D5C"/>
    <w:rsid w:val="00DD0268"/>
    <w:rsid w:val="00EB5521"/>
    <w:rsid w:val="00F10EFD"/>
    <w:rsid w:val="00F741D2"/>
    <w:rsid w:val="00F85DED"/>
    <w:rsid w:val="00F973DD"/>
    <w:rsid w:val="00FB54FB"/>
    <w:rsid w:val="039D13A3"/>
    <w:rsid w:val="0B07337F"/>
    <w:rsid w:val="13BD1749"/>
    <w:rsid w:val="15E726BD"/>
    <w:rsid w:val="18555B8E"/>
    <w:rsid w:val="189B4AAC"/>
    <w:rsid w:val="1C61412C"/>
    <w:rsid w:val="208235A3"/>
    <w:rsid w:val="21042B4C"/>
    <w:rsid w:val="211304CD"/>
    <w:rsid w:val="21F54CB4"/>
    <w:rsid w:val="289E4CC3"/>
    <w:rsid w:val="29B66B56"/>
    <w:rsid w:val="2E5C019E"/>
    <w:rsid w:val="32CF2F6B"/>
    <w:rsid w:val="372C26BF"/>
    <w:rsid w:val="3C0756E2"/>
    <w:rsid w:val="3D1E6CC9"/>
    <w:rsid w:val="40633C15"/>
    <w:rsid w:val="43743C5D"/>
    <w:rsid w:val="4A8560C4"/>
    <w:rsid w:val="4AFB3B2C"/>
    <w:rsid w:val="4D5819A6"/>
    <w:rsid w:val="5340384F"/>
    <w:rsid w:val="55681A7E"/>
    <w:rsid w:val="5610251C"/>
    <w:rsid w:val="598F6140"/>
    <w:rsid w:val="5B7D5EB0"/>
    <w:rsid w:val="5C593D45"/>
    <w:rsid w:val="5F0E2F81"/>
    <w:rsid w:val="603C4BF1"/>
    <w:rsid w:val="61DC6B29"/>
    <w:rsid w:val="66B35D41"/>
    <w:rsid w:val="66DE31E6"/>
    <w:rsid w:val="6A706946"/>
    <w:rsid w:val="6A946A3E"/>
    <w:rsid w:val="6E1F2ACB"/>
    <w:rsid w:val="704F240F"/>
    <w:rsid w:val="728516F8"/>
    <w:rsid w:val="73705A25"/>
    <w:rsid w:val="79082A52"/>
    <w:rsid w:val="7933769E"/>
    <w:rsid w:val="7C387895"/>
    <w:rsid w:val="7D02642B"/>
    <w:rsid w:val="7E280C91"/>
    <w:rsid w:val="7E34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9"/>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1"/>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index 6"/>
    <w:basedOn w:val="1"/>
    <w:next w:val="1"/>
    <w:qFormat/>
    <w:uiPriority w:val="0"/>
    <w:pPr>
      <w:ind w:left="1000" w:leftChars="1000"/>
    </w:pPr>
  </w:style>
  <w:style w:type="paragraph" w:styleId="12">
    <w:name w:val="Body Text"/>
    <w:basedOn w:val="1"/>
    <w:link w:val="24"/>
    <w:semiHidden/>
    <w:unhideWhenUsed/>
    <w:qFormat/>
    <w:uiPriority w:val="99"/>
  </w:style>
  <w:style w:type="paragraph" w:styleId="13">
    <w:name w:val="Body Text Indent 2"/>
    <w:basedOn w:val="1"/>
    <w:link w:val="44"/>
    <w:semiHidden/>
    <w:unhideWhenUsed/>
    <w:qFormat/>
    <w:uiPriority w:val="0"/>
    <w:pPr>
      <w:spacing w:after="120" w:line="480" w:lineRule="auto"/>
      <w:ind w:left="420" w:leftChars="200"/>
    </w:pPr>
  </w:style>
  <w:style w:type="paragraph" w:styleId="14">
    <w:name w:val="footer"/>
    <w:basedOn w:val="1"/>
    <w:link w:val="46"/>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45"/>
    <w:unhideWhenUsed/>
    <w:qFormat/>
    <w:uiPriority w:val="99"/>
    <w:pPr>
      <w:tabs>
        <w:tab w:val="center" w:pos="4153"/>
        <w:tab w:val="right" w:pos="8306"/>
      </w:tabs>
      <w:snapToGrid w:val="0"/>
      <w:spacing w:line="240" w:lineRule="atLeast"/>
      <w:jc w:val="center"/>
    </w:pPr>
    <w:rPr>
      <w:sz w:val="18"/>
      <w:szCs w:val="18"/>
    </w:rPr>
  </w:style>
  <w:style w:type="paragraph" w:styleId="16">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18">
    <w:name w:val="Title"/>
    <w:basedOn w:val="1"/>
    <w:next w:val="1"/>
    <w:link w:val="3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12"/>
    <w:link w:val="25"/>
    <w:semiHidden/>
    <w:unhideWhenUsed/>
    <w:qFormat/>
    <w:uiPriority w:val="99"/>
    <w:pPr>
      <w:ind w:firstLine="420" w:firstLineChars="100"/>
    </w:pPr>
  </w:style>
  <w:style w:type="table" w:styleId="21">
    <w:name w:val="Table Grid"/>
    <w:basedOn w:val="20"/>
    <w:qFormat/>
    <w:uiPriority w:val="0"/>
    <w:pPr>
      <w:widowControl w:val="0"/>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customStyle="1" w:styleId="24">
    <w:name w:val="正文文本 字符"/>
    <w:basedOn w:val="22"/>
    <w:link w:val="12"/>
    <w:semiHidden/>
    <w:qFormat/>
    <w:uiPriority w:val="99"/>
    <w:rPr>
      <w:rFonts w:ascii="Times New Roman" w:hAnsi="Times New Roman" w:eastAsia="仿宋_GB2312"/>
      <w:sz w:val="32"/>
    </w:rPr>
  </w:style>
  <w:style w:type="character" w:customStyle="1" w:styleId="25">
    <w:name w:val="正文文本首行缩进 字符"/>
    <w:basedOn w:val="24"/>
    <w:link w:val="19"/>
    <w:semiHidden/>
    <w:qFormat/>
    <w:uiPriority w:val="99"/>
    <w:rPr>
      <w:rFonts w:ascii="Times New Roman" w:hAnsi="Times New Roman" w:eastAsia="仿宋_GB2312"/>
      <w:sz w:val="32"/>
    </w:rPr>
  </w:style>
  <w:style w:type="character" w:customStyle="1" w:styleId="26">
    <w:name w:val="标题 1 字符"/>
    <w:basedOn w:val="22"/>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2"/>
    <w:link w:val="4"/>
    <w:semiHidden/>
    <w:qFormat/>
    <w:uiPriority w:val="9"/>
    <w:rPr>
      <w:rFonts w:asciiTheme="majorHAnsi" w:hAnsiTheme="majorHAnsi" w:eastAsiaTheme="majorEastAsia" w:cstheme="majorBidi"/>
      <w:color w:val="104862" w:themeColor="accent1" w:themeShade="BF"/>
      <w:szCs w:val="32"/>
    </w:rPr>
  </w:style>
  <w:style w:type="character" w:customStyle="1" w:styleId="29">
    <w:name w:val="标题 4 字符"/>
    <w:basedOn w:val="22"/>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30">
    <w:name w:val="标题 5 字符"/>
    <w:basedOn w:val="22"/>
    <w:link w:val="6"/>
    <w:semiHidden/>
    <w:qFormat/>
    <w:uiPriority w:val="9"/>
    <w:rPr>
      <w:rFonts w:asciiTheme="minorHAnsi" w:hAnsiTheme="minorHAnsi" w:eastAsiaTheme="minorEastAsia" w:cstheme="majorBidi"/>
      <w:color w:val="104862" w:themeColor="accent1" w:themeShade="BF"/>
      <w:sz w:val="24"/>
    </w:rPr>
  </w:style>
  <w:style w:type="character" w:customStyle="1" w:styleId="31">
    <w:name w:val="标题 6 字符"/>
    <w:basedOn w:val="22"/>
    <w:link w:val="7"/>
    <w:semiHidden/>
    <w:qFormat/>
    <w:uiPriority w:val="9"/>
    <w:rPr>
      <w:rFonts w:asciiTheme="minorHAnsi" w:hAnsiTheme="minorHAnsi" w:eastAsiaTheme="minorEastAsia" w:cstheme="majorBidi"/>
      <w:b/>
      <w:bCs/>
      <w:color w:val="104862" w:themeColor="accent1" w:themeShade="BF"/>
    </w:rPr>
  </w:style>
  <w:style w:type="character" w:customStyle="1" w:styleId="32">
    <w:name w:val="标题 7 字符"/>
    <w:basedOn w:val="22"/>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2"/>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2"/>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2"/>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22"/>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2"/>
    <w:link w:val="41"/>
    <w:qFormat/>
    <w:uiPriority w:val="30"/>
    <w:rPr>
      <w:i/>
      <w:iCs/>
      <w:color w:val="104862" w:themeColor="accent1" w:themeShade="BF"/>
    </w:rPr>
  </w:style>
  <w:style w:type="character" w:customStyle="1" w:styleId="43">
    <w:name w:val="明显参考1"/>
    <w:basedOn w:val="22"/>
    <w:qFormat/>
    <w:uiPriority w:val="32"/>
    <w:rPr>
      <w:b/>
      <w:bCs/>
      <w:smallCaps/>
      <w:color w:val="104862" w:themeColor="accent1" w:themeShade="BF"/>
      <w:spacing w:val="5"/>
    </w:rPr>
  </w:style>
  <w:style w:type="character" w:customStyle="1" w:styleId="44">
    <w:name w:val="正文文本缩进 2 字符"/>
    <w:basedOn w:val="22"/>
    <w:link w:val="13"/>
    <w:semiHidden/>
    <w:qFormat/>
    <w:uiPriority w:val="0"/>
    <w:rPr>
      <w:rFonts w:ascii="Calibri" w:hAnsi="Calibri" w:eastAsia="宋体" w:cs="Times New Roman"/>
      <w:sz w:val="21"/>
    </w:rPr>
  </w:style>
  <w:style w:type="character" w:customStyle="1" w:styleId="45">
    <w:name w:val="页眉 字符"/>
    <w:basedOn w:val="22"/>
    <w:link w:val="15"/>
    <w:qFormat/>
    <w:uiPriority w:val="99"/>
    <w:rPr>
      <w:rFonts w:ascii="Calibri" w:hAnsi="Calibri" w:eastAsia="宋体" w:cs="Times New Roman"/>
      <w:kern w:val="2"/>
      <w:sz w:val="18"/>
      <w:szCs w:val="18"/>
    </w:rPr>
  </w:style>
  <w:style w:type="character" w:customStyle="1" w:styleId="46">
    <w:name w:val="页脚 字符"/>
    <w:basedOn w:val="22"/>
    <w:link w:val="14"/>
    <w:qFormat/>
    <w:uiPriority w:val="99"/>
    <w:rPr>
      <w:rFonts w:ascii="Calibri" w:hAnsi="Calibri" w:eastAsia="宋体" w:cs="Times New Roman"/>
      <w:kern w:val="2"/>
      <w:sz w:val="18"/>
      <w:szCs w:val="18"/>
    </w:rPr>
  </w:style>
  <w:style w:type="paragraph" w:customStyle="1" w:styleId="47">
    <w:name w:val="修订1"/>
    <w:hidden/>
    <w:unhideWhenUsed/>
    <w:qFormat/>
    <w:uiPriority w:val="99"/>
    <w:rPr>
      <w:rFonts w:ascii="Calibri" w:hAnsi="Calibri" w:eastAsia="宋体" w:cs="Times New Roman"/>
      <w:kern w:val="2"/>
      <w:sz w:val="24"/>
      <w:szCs w:val="24"/>
      <w:lang w:val="en-US" w:eastAsia="zh-CN" w:bidi="ar-SA"/>
    </w:rPr>
  </w:style>
  <w:style w:type="table" w:customStyle="1" w:styleId="48">
    <w:name w:val="网格型1"/>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2"/>
    <w:basedOn w:val="2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5734</Words>
  <Characters>6142</Characters>
  <Lines>47</Lines>
  <Paragraphs>13</Paragraphs>
  <TotalTime>8</TotalTime>
  <ScaleCrop>false</ScaleCrop>
  <LinksUpToDate>false</LinksUpToDate>
  <CharactersWithSpaces>6254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mumu</dc:creator>
  <cp:lastModifiedBy>微信用户</cp:lastModifiedBy>
  <cp:lastPrinted>2025-04-29T06:22:00Z</cp:lastPrinted>
  <dcterms:modified xsi:type="dcterms:W3CDTF">2025-04-29T07:34:29Z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eyJoZGlkIjoiZjgyZWQ0NWVhY2UzZDc4Y2FlMjdmNzEwNmM0MTllYWEiLCJ1c2VySWQiOiIxMjM0OTI5NTkyIn0=</vt:lpwstr>
  </property>
  <property fmtid="{D5CDD505-2E9C-101B-9397-08002B2CF9AE}" pid="3" name="KSOProductBuildVer">
    <vt:lpwstr>2052-12.1.0.20784</vt:lpwstr>
  </property>
  <property fmtid="{D5CDD505-2E9C-101B-9397-08002B2CF9AE}" pid="4" name="ICV">
    <vt:lpwstr>0525A103F9A645B2964C7CBDC14B4511_13</vt:lpwstr>
  </property>
</Properties>
</file>